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BC002">
      <w:pPr>
        <w:spacing w:line="540" w:lineRule="exact"/>
        <w:jc w:val="center"/>
        <w:rPr>
          <w:rFonts w:ascii="华文中宋" w:hAnsi="华文中宋" w:eastAsia="华文中宋" w:cs="宋体"/>
          <w:b/>
          <w:kern w:val="0"/>
          <w:sz w:val="52"/>
          <w:szCs w:val="52"/>
        </w:rPr>
      </w:pPr>
      <w:bookmarkStart w:id="2" w:name="_GoBack"/>
      <w:bookmarkEnd w:id="2"/>
    </w:p>
    <w:p w14:paraId="196BCE2C">
      <w:pPr>
        <w:spacing w:line="540" w:lineRule="exact"/>
        <w:jc w:val="center"/>
        <w:rPr>
          <w:rFonts w:ascii="华文中宋" w:hAnsi="华文中宋" w:eastAsia="华文中宋" w:cs="宋体"/>
          <w:b/>
          <w:kern w:val="0"/>
          <w:sz w:val="52"/>
          <w:szCs w:val="52"/>
        </w:rPr>
      </w:pPr>
    </w:p>
    <w:p w14:paraId="0D8DE070">
      <w:pPr>
        <w:spacing w:line="540" w:lineRule="exact"/>
        <w:jc w:val="center"/>
        <w:rPr>
          <w:rFonts w:ascii="华文中宋" w:hAnsi="华文中宋" w:eastAsia="华文中宋" w:cs="宋体"/>
          <w:b/>
          <w:kern w:val="0"/>
          <w:sz w:val="52"/>
          <w:szCs w:val="52"/>
        </w:rPr>
      </w:pPr>
    </w:p>
    <w:p w14:paraId="060275A8">
      <w:pPr>
        <w:spacing w:line="540" w:lineRule="exact"/>
        <w:jc w:val="center"/>
        <w:rPr>
          <w:rFonts w:ascii="华文中宋" w:hAnsi="华文中宋" w:eastAsia="华文中宋" w:cs="宋体"/>
          <w:b/>
          <w:kern w:val="0"/>
          <w:sz w:val="52"/>
          <w:szCs w:val="52"/>
        </w:rPr>
      </w:pPr>
    </w:p>
    <w:p w14:paraId="4FC59276">
      <w:pPr>
        <w:spacing w:line="540" w:lineRule="exact"/>
        <w:jc w:val="center"/>
        <w:rPr>
          <w:rFonts w:ascii="华文中宋" w:hAnsi="华文中宋" w:eastAsia="华文中宋" w:cs="宋体"/>
          <w:b/>
          <w:kern w:val="0"/>
          <w:sz w:val="52"/>
          <w:szCs w:val="52"/>
        </w:rPr>
      </w:pPr>
    </w:p>
    <w:p w14:paraId="113480BD">
      <w:pPr>
        <w:spacing w:line="540" w:lineRule="exact"/>
        <w:jc w:val="center"/>
        <w:rPr>
          <w:rFonts w:ascii="华文中宋" w:hAnsi="华文中宋" w:eastAsia="华文中宋" w:cs="宋体"/>
          <w:b/>
          <w:kern w:val="0"/>
          <w:sz w:val="52"/>
          <w:szCs w:val="52"/>
        </w:rPr>
      </w:pPr>
    </w:p>
    <w:p w14:paraId="5BF6AE15">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血站扩建及附属设施设备资金项目支出绩效评价报告</w:t>
      </w:r>
    </w:p>
    <w:p w14:paraId="11188F8A">
      <w:pPr>
        <w:spacing w:line="540" w:lineRule="exact"/>
        <w:jc w:val="center"/>
        <w:rPr>
          <w:rFonts w:ascii="华文中宋" w:hAnsi="华文中宋" w:eastAsia="华文中宋" w:cs="宋体"/>
          <w:b/>
          <w:kern w:val="0"/>
          <w:sz w:val="52"/>
          <w:szCs w:val="52"/>
        </w:rPr>
      </w:pPr>
    </w:p>
    <w:p w14:paraId="2C45291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14:paraId="7E8F0405">
      <w:pPr>
        <w:spacing w:line="540" w:lineRule="exact"/>
        <w:jc w:val="center"/>
        <w:rPr>
          <w:rFonts w:hAnsi="宋体" w:eastAsia="仿宋_GB2312" w:cs="宋体"/>
          <w:kern w:val="0"/>
          <w:sz w:val="30"/>
          <w:szCs w:val="30"/>
        </w:rPr>
      </w:pPr>
    </w:p>
    <w:p w14:paraId="440A85D2">
      <w:pPr>
        <w:spacing w:line="540" w:lineRule="exact"/>
        <w:jc w:val="center"/>
        <w:rPr>
          <w:rFonts w:hAnsi="宋体" w:eastAsia="仿宋_GB2312" w:cs="宋体"/>
          <w:kern w:val="0"/>
          <w:sz w:val="30"/>
          <w:szCs w:val="30"/>
        </w:rPr>
      </w:pPr>
    </w:p>
    <w:p w14:paraId="320E199A">
      <w:pPr>
        <w:spacing w:line="540" w:lineRule="exact"/>
        <w:jc w:val="center"/>
        <w:rPr>
          <w:rFonts w:hAnsi="宋体" w:eastAsia="仿宋_GB2312" w:cs="宋体"/>
          <w:kern w:val="0"/>
          <w:sz w:val="30"/>
          <w:szCs w:val="30"/>
        </w:rPr>
      </w:pPr>
    </w:p>
    <w:p w14:paraId="104A0A3E">
      <w:pPr>
        <w:spacing w:line="540" w:lineRule="exact"/>
        <w:jc w:val="center"/>
        <w:rPr>
          <w:rFonts w:hAnsi="宋体" w:eastAsia="仿宋_GB2312" w:cs="宋体"/>
          <w:kern w:val="0"/>
          <w:sz w:val="30"/>
          <w:szCs w:val="30"/>
        </w:rPr>
      </w:pPr>
    </w:p>
    <w:p w14:paraId="673F7533">
      <w:pPr>
        <w:spacing w:line="540" w:lineRule="exact"/>
        <w:rPr>
          <w:rFonts w:hAnsi="宋体" w:eastAsia="仿宋_GB2312" w:cs="宋体"/>
          <w:kern w:val="0"/>
          <w:sz w:val="30"/>
          <w:szCs w:val="30"/>
        </w:rPr>
      </w:pPr>
    </w:p>
    <w:p w14:paraId="627CCA0F">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项目名称：血站扩建及附属设施设备</w:t>
      </w:r>
    </w:p>
    <w:p w14:paraId="0AD6BC3E">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实施单位（公章）：塔城地区中心血站</w:t>
      </w:r>
    </w:p>
    <w:p w14:paraId="38DDFF66">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主管部门（公章）：塔城地区卫生健康委员会</w:t>
      </w:r>
    </w:p>
    <w:p w14:paraId="2FFE7518">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项目负责人（签章）：杨忠才</w:t>
      </w:r>
    </w:p>
    <w:p w14:paraId="508BF6AA">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填报时间：2021年4月8日</w:t>
      </w:r>
    </w:p>
    <w:p w14:paraId="0343BEBB">
      <w:pPr>
        <w:spacing w:line="540" w:lineRule="exact"/>
        <w:jc w:val="center"/>
        <w:rPr>
          <w:rFonts w:hint="eastAsia" w:ascii="仿宋_GB2312" w:hAnsi="仿宋_GB2312" w:eastAsia="仿宋_GB2312" w:cs="仿宋_GB2312"/>
          <w:kern w:val="0"/>
          <w:sz w:val="30"/>
          <w:szCs w:val="30"/>
        </w:rPr>
      </w:pPr>
    </w:p>
    <w:p w14:paraId="3115B3EE">
      <w:pPr>
        <w:spacing w:line="540" w:lineRule="exact"/>
        <w:rPr>
          <w:rStyle w:val="20"/>
          <w:rFonts w:ascii="黑体" w:hAnsi="黑体" w:eastAsia="黑体"/>
          <w:b w:val="0"/>
          <w:spacing w:val="-4"/>
          <w:sz w:val="32"/>
          <w:szCs w:val="32"/>
        </w:rPr>
      </w:pPr>
    </w:p>
    <w:p w14:paraId="3AA7DC3D">
      <w:pPr>
        <w:spacing w:line="540" w:lineRule="exact"/>
        <w:ind w:firstLine="640"/>
        <w:rPr>
          <w:rStyle w:val="20"/>
          <w:rFonts w:ascii="黑体" w:hAnsi="黑体" w:eastAsia="黑体"/>
          <w:b w:val="0"/>
          <w:spacing w:val="-4"/>
          <w:sz w:val="32"/>
          <w:szCs w:val="32"/>
        </w:rPr>
      </w:pPr>
    </w:p>
    <w:p w14:paraId="599A316D">
      <w:pPr>
        <w:spacing w:line="540" w:lineRule="exact"/>
        <w:rPr>
          <w:rStyle w:val="20"/>
          <w:rFonts w:ascii="黑体" w:hAnsi="黑体" w:eastAsia="黑体"/>
          <w:b w:val="0"/>
          <w:spacing w:val="-4"/>
          <w:sz w:val="32"/>
          <w:szCs w:val="32"/>
        </w:rPr>
      </w:pPr>
    </w:p>
    <w:p w14:paraId="28534AC4">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14:paraId="22AB8F8A">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06ECD32A">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522043E2">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14:paraId="3C6D1EBC">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塔城地区中心血站扩建及附属设施设备项目建设能大大提高塔城地区中心血站的科研业务水平、管理水平及档次，使之成为塔城地区一个重要的血液检测、输血指导和科学研究基地,在保证医疗临床用血的需要和安全，保障血液及时供应,保障献血者和用血者的身体健康，对维护社会稳定，促进社会主义物质文明和精神文明建设等方面有重要意义。</w:t>
      </w:r>
    </w:p>
    <w:p w14:paraId="0DC8C649">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血站扩建及附属设施设备项目</w:t>
      </w:r>
      <w:r>
        <w:rPr>
          <w:rFonts w:hint="eastAsia" w:ascii="仿宋_GB2312" w:hAnsi="仿宋_GB2312" w:eastAsia="仿宋_GB2312" w:cs="仿宋_GB2312"/>
          <w:bCs/>
          <w:sz w:val="32"/>
          <w:szCs w:val="32"/>
        </w:rPr>
        <w:t>建成后，血站作为塔城地区的采供血机构，能更有效地提高其临床用血（成份血）保障能力，推进科学用血，带动输血事业整体水平的提高。增加塔城地区临床医疗储备血量，提高应付医疗突发事件的能力，维护社会稳定。</w:t>
      </w:r>
    </w:p>
    <w:p w14:paraId="490BDDCD">
      <w:pPr>
        <w:pageBreakBefore w:val="0"/>
        <w:kinsoku/>
        <w:wordWrap/>
        <w:overflowPunct/>
        <w:topLinePunct w:val="0"/>
        <w:autoSpaceDE/>
        <w:autoSpaceDN/>
        <w:bidi w:val="0"/>
        <w:adjustRightInd/>
        <w:snapToGrid/>
        <w:spacing w:line="560" w:lineRule="atLeast"/>
        <w:ind w:firstLine="645"/>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血站扩建及附属设施设备项目</w:t>
      </w:r>
      <w:r>
        <w:rPr>
          <w:rFonts w:hint="eastAsia" w:ascii="仿宋_GB2312" w:hAnsi="仿宋_GB2312" w:eastAsia="仿宋_GB2312" w:cs="仿宋_GB2312"/>
          <w:bCs/>
          <w:sz w:val="32"/>
          <w:szCs w:val="32"/>
        </w:rPr>
        <w:t>建成后，血站将为塔城地区及周边地区提供了一个更安全、卫生、便利的献血条件，有利于推动无偿献血工作的全面开展，有效竭止非法买卖血现象，减少经血液途径传播疾病的发生，保障临床医疗血液的质量。</w:t>
      </w:r>
    </w:p>
    <w:p w14:paraId="4388DB80">
      <w:pPr>
        <w:pageBreakBefore w:val="0"/>
        <w:kinsoku/>
        <w:wordWrap/>
        <w:overflowPunct/>
        <w:topLinePunct w:val="0"/>
        <w:autoSpaceDE/>
        <w:autoSpaceDN/>
        <w:bidi w:val="0"/>
        <w:adjustRightInd/>
        <w:snapToGrid/>
        <w:spacing w:line="560" w:lineRule="atLeast"/>
        <w:ind w:firstLine="645"/>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血站扩建及附属设施设备项目</w:t>
      </w:r>
      <w:r>
        <w:rPr>
          <w:rFonts w:hint="eastAsia" w:ascii="仿宋_GB2312" w:hAnsi="仿宋_GB2312" w:eastAsia="仿宋_GB2312" w:cs="仿宋_GB2312"/>
          <w:bCs/>
          <w:sz w:val="32"/>
          <w:szCs w:val="32"/>
        </w:rPr>
        <w:t>建成后，有利于血液的综合利用，促进成份输血，开展高层次输血技术研究，提高检验及医疗技术水平，解决临床输血疑难问题。</w:t>
      </w:r>
    </w:p>
    <w:p w14:paraId="2D44738E">
      <w:pPr>
        <w:pStyle w:val="5"/>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sz w:val="32"/>
          <w:szCs w:val="32"/>
        </w:rPr>
        <w:t>血站扩建及附属设施设备项目的</w:t>
      </w:r>
      <w:r>
        <w:rPr>
          <w:rFonts w:hint="eastAsia" w:ascii="仿宋_GB2312" w:hAnsi="仿宋_GB2312" w:eastAsia="仿宋_GB2312" w:cs="仿宋_GB2312"/>
          <w:b w:val="0"/>
          <w:bCs w:val="0"/>
          <w:kern w:val="2"/>
          <w:sz w:val="32"/>
          <w:szCs w:val="32"/>
        </w:rPr>
        <w:t>建设，有利于提高塔城地区中心血站的科研业务水平、管理水平及档次，有利于提高本地区输血技术和临床医疗技术的档次，控制血源性传播疾病，让群众得到优质的医疗卫生服务，促进塔城地区人民的健康指标接近或达到中等发达国家的平均水平。</w:t>
      </w:r>
    </w:p>
    <w:p w14:paraId="3072105A">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血站扩建及附属设施设备项目的建设，可按国家有关法规有计划地实现无偿献血，减少临床用血费用，使献血者及其亲属享受有关用血优惠政策，减轻用血者的医疗负担，在一定程度上可降低人民群众“看病难、看病贵”问题，真正的为人民的健康服务。</w:t>
      </w:r>
    </w:p>
    <w:p w14:paraId="192F53D2">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血站扩建及附属设施设备项目的建设，有利于塔城中心血站入选成为塔城区域血液检测中心，成为塔城地区一个重要的血液检测、输血指导和科学研究基地，有利塔城中心血站的发展。</w:t>
      </w:r>
    </w:p>
    <w:p w14:paraId="13AEC5AE">
      <w:pPr>
        <w:pStyle w:val="2"/>
        <w:pageBreakBefore w:val="0"/>
        <w:numPr>
          <w:ilvl w:val="0"/>
          <w:numId w:val="1"/>
        </w:numPr>
        <w:kinsoku/>
        <w:wordWrap/>
        <w:overflowPunct/>
        <w:topLinePunct w:val="0"/>
        <w:autoSpaceDE/>
        <w:autoSpaceDN/>
        <w:bidi w:val="0"/>
        <w:adjustRightInd/>
        <w:snapToGrid/>
        <w:spacing w:before="0" w:after="0" w:line="560" w:lineRule="atLeast"/>
        <w:ind w:left="-10" w:leftChars="0" w:firstLine="640" w:firstLineChars="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14:paraId="5AEB027F">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近年来，我中心血站高度重视血液检测、输血指导和科学研究等工作;在站领导的积极工作领导下，血站扩建及附属实施设备项目总投资70万元，全部为本级财政资金安排，并按照相关规定办理手续并支付给施工方。</w:t>
      </w:r>
    </w:p>
    <w:p w14:paraId="5D4A92E2">
      <w:pPr>
        <w:pageBreakBefore w:val="0"/>
        <w:kinsoku/>
        <w:wordWrap/>
        <w:overflowPunct/>
        <w:topLinePunct w:val="0"/>
        <w:autoSpaceDE/>
        <w:autoSpaceDN/>
        <w:bidi w:val="0"/>
        <w:adjustRightInd/>
        <w:snapToGrid/>
        <w:spacing w:line="560" w:lineRule="atLeast"/>
        <w:textAlignment w:val="auto"/>
      </w:pPr>
    </w:p>
    <w:p w14:paraId="53E31CDE">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项目主要内容及实施情况</w:t>
      </w:r>
    </w:p>
    <w:p w14:paraId="72FB8710">
      <w:pPr>
        <w:pageBreakBefore w:val="0"/>
        <w:kinsoku/>
        <w:wordWrap/>
        <w:overflowPunct/>
        <w:topLinePunct w:val="0"/>
        <w:autoSpaceDE/>
        <w:autoSpaceDN/>
        <w:bidi w:val="0"/>
        <w:adjustRightInd/>
        <w:snapToGrid/>
        <w:spacing w:line="560" w:lineRule="atLeast"/>
        <w:ind w:firstLine="602" w:firstLineChars="200"/>
        <w:textAlignment w:val="auto"/>
        <w:rPr>
          <w:rFonts w:ascii="仿宋_GB2312" w:hAnsi="方正仿宋_GBK" w:eastAsia="仿宋_GB2312" w:cs="方正仿宋_GBK"/>
          <w:sz w:val="32"/>
          <w:szCs w:val="32"/>
        </w:rPr>
      </w:pPr>
      <w:r>
        <w:rPr>
          <w:rFonts w:hint="eastAsia" w:ascii="仿宋_GB2312" w:hAnsi="仿宋_GB2312" w:eastAsia="仿宋_GB2312" w:cs="仿宋_GB2312"/>
          <w:b/>
          <w:bCs/>
          <w:color w:val="000000" w:themeColor="text1"/>
          <w:sz w:val="30"/>
          <w:szCs w:val="30"/>
        </w:rPr>
        <w:t>项目主要内容：</w:t>
      </w:r>
      <w:r>
        <w:rPr>
          <w:rFonts w:hint="eastAsia" w:ascii="仿宋_GB2312" w:hAnsi="方正仿宋_GBK" w:eastAsia="仿宋_GB2312" w:cs="方正仿宋_GBK"/>
          <w:sz w:val="32"/>
          <w:szCs w:val="32"/>
        </w:rPr>
        <w:t>坚持预防为主、关口前移，加强疾病预防控制机构</w:t>
      </w:r>
      <w:r>
        <w:rPr>
          <w:rFonts w:hint="eastAsia" w:ascii="仿宋_GB2312" w:hAnsi="方正仿宋_GBK" w:eastAsia="仿宋_GB2312" w:cs="方正仿宋_GBK"/>
          <w:sz w:val="32"/>
          <w:szCs w:val="32"/>
          <w:lang w:eastAsia="zh-CN"/>
        </w:rPr>
        <w:t>基础设施建设</w:t>
      </w:r>
      <w:r>
        <w:rPr>
          <w:rFonts w:hint="eastAsia" w:ascii="仿宋_GB2312" w:hAnsi="方正仿宋_GBK" w:eastAsia="仿宋_GB2312" w:cs="方正仿宋_GBK"/>
          <w:sz w:val="32"/>
          <w:szCs w:val="32"/>
        </w:rPr>
        <w:t xml:space="preserve">，为进一步改善塔城地区医疗卫生条件，切实提升塔城地区中心血站医疗卫生服务水平。                                                                               </w:t>
      </w:r>
    </w:p>
    <w:p w14:paraId="7EADDA5D">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解决血站业务用房紧张，扩大血站规模，实施血站扩建项目。</w:t>
      </w:r>
    </w:p>
    <w:p w14:paraId="5BA77CA8">
      <w:pPr>
        <w:pStyle w:val="2"/>
        <w:pageBreakBefore w:val="0"/>
        <w:kinsoku/>
        <w:wordWrap/>
        <w:overflowPunct/>
        <w:topLinePunct w:val="0"/>
        <w:autoSpaceDE/>
        <w:autoSpaceDN/>
        <w:bidi w:val="0"/>
        <w:adjustRightInd/>
        <w:snapToGrid/>
        <w:spacing w:before="0" w:after="0" w:line="560" w:lineRule="atLeast"/>
        <w:ind w:firstLine="643" w:firstLineChars="200"/>
        <w:jc w:val="both"/>
        <w:textAlignment w:val="auto"/>
        <w:rPr>
          <w:rFonts w:ascii="仿宋_GB2312" w:hAnsi="方正仿宋_GBK" w:eastAsia="仿宋_GB2312" w:cs="方正仿宋_GBK"/>
          <w:b w:val="0"/>
          <w:bCs w:val="0"/>
          <w:kern w:val="2"/>
        </w:rPr>
      </w:pPr>
      <w:r>
        <w:rPr>
          <w:rFonts w:hint="eastAsia" w:ascii="仿宋_GB2312" w:hAnsi="仿宋_GB2312" w:eastAsia="仿宋_GB2312" w:cs="仿宋_GB2312"/>
        </w:rPr>
        <w:t>项目实施情况：</w:t>
      </w:r>
      <w:r>
        <w:rPr>
          <w:rFonts w:hint="eastAsia" w:ascii="仿宋_GB2312" w:hAnsi="方正仿宋_GBK" w:eastAsia="仿宋_GB2312" w:cs="方正仿宋_GBK"/>
          <w:b w:val="0"/>
          <w:bCs w:val="0"/>
          <w:kern w:val="2"/>
        </w:rPr>
        <w:t>项目目前已经完成实际设立的目标，项目在实施过程中严格按照目标设立的各阶段任务进行开展工作，在前期立项过程中严格把质量关，建立安全防护机制，保证项目实施各阶段安全顺利进行。</w:t>
      </w:r>
    </w:p>
    <w:p w14:paraId="573E276C">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本项目总投资70万元，其中：财政本级资金70万元。项目实际支出43.08万元， 支出率为61.54%。</w:t>
      </w:r>
    </w:p>
    <w:p w14:paraId="5C947EB4">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08944A0E">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14:paraId="3C2B3054">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70万元，按照《项目资金管理办法》及单位财务制度等相关规定，资金支出符合血站扩建及附属设施设备专项资金费用范围，做到了专款专用。在项目资金拨付和使用过程中，为确保项目资金的安全性，提高项目资金使用效率，严格遵循血站扩建及附属设施设备专项资金的拨付程序，认真审核项目实施各阶段的相关材料和手续，根据项目实施进展情况拨付资金。</w:t>
      </w:r>
    </w:p>
    <w:p w14:paraId="11549F1C">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14:paraId="4EB613D9">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ascii="仿宋_GB2312" w:hAnsi="仿宋_GB2312" w:eastAsia="仿宋_GB2312" w:cs="仿宋_GB2312"/>
          <w:b w:val="0"/>
          <w:bCs w:val="0"/>
          <w:kern w:val="2"/>
        </w:rPr>
        <w:t>塔地财预[2020]0509号</w:t>
      </w:r>
      <w:r>
        <w:rPr>
          <w:rFonts w:hint="eastAsia" w:ascii="仿宋_GB2312" w:hAnsi="仿宋_GB2312" w:eastAsia="仿宋_GB2312" w:cs="仿宋_GB2312"/>
          <w:b w:val="0"/>
          <w:bCs w:val="0"/>
          <w:kern w:val="2"/>
        </w:rPr>
        <w:t>文件中批复的资金，项目资金到位70万元，实际支出43.08万元， 支出率为61.54%。用于支付项目实施进程中的各项费用。</w:t>
      </w:r>
    </w:p>
    <w:p w14:paraId="741A5449">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3B45B402">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14:paraId="36C1A8FC">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坚持预防为主、关口前移，加强疾病预防控制机构</w:t>
      </w:r>
      <w:r>
        <w:rPr>
          <w:rFonts w:hint="eastAsia" w:ascii="仿宋_GB2312" w:hAnsi="方正仿宋_GBK" w:eastAsia="仿宋_GB2312" w:cs="方正仿宋_GBK"/>
          <w:sz w:val="32"/>
          <w:szCs w:val="32"/>
          <w:lang w:eastAsia="zh-CN"/>
        </w:rPr>
        <w:t>基础设施建设</w:t>
      </w:r>
      <w:r>
        <w:rPr>
          <w:rFonts w:hint="eastAsia" w:ascii="仿宋_GB2312" w:hAnsi="方正仿宋_GBK" w:eastAsia="仿宋_GB2312" w:cs="方正仿宋_GBK"/>
          <w:sz w:val="32"/>
          <w:szCs w:val="32"/>
        </w:rPr>
        <w:t xml:space="preserve">，为进一步改善塔城地区医疗卫生条件，切实提升塔城地区中心血站医疗卫生服务水平。                                                                               </w:t>
      </w:r>
    </w:p>
    <w:p w14:paraId="1A70AE96">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解决血站业务用房紧张，扩大血站规模，实施血站扩建项目。</w:t>
      </w:r>
    </w:p>
    <w:p w14:paraId="729D8AB9">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14:paraId="4C560847">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（1）前期准备：根据《可研方案》，通过制定项目实施方案，经项目负责人审核通过后，有序开展后续工程。</w:t>
      </w:r>
    </w:p>
    <w:p w14:paraId="09906FC2">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（2）组织实施：资金以到位，立即根据项目要求实施项目。项目责任人按照</w:t>
      </w:r>
      <w:r>
        <w:rPr>
          <w:rFonts w:hint="eastAsia" w:ascii="仿宋_GB2312" w:hAnsi="仿宋_GB2312" w:eastAsia="仿宋_GB2312" w:cs="仿宋_GB2312"/>
          <w:color w:val="000000" w:themeColor="text1"/>
          <w:sz w:val="32"/>
          <w:szCs w:val="32"/>
        </w:rPr>
        <w:t>《可研方案》</w:t>
      </w:r>
      <w:r>
        <w:rPr>
          <w:rFonts w:hint="eastAsia" w:ascii="仿宋_GB2312" w:hAnsi="仿宋_GB2312" w:eastAsia="仿宋_GB2312" w:cs="仿宋_GB2312"/>
          <w:sz w:val="32"/>
          <w:szCs w:val="32"/>
        </w:rPr>
        <w:t>要求逐一进行项目部署安排，提高项目质量及效率性。</w:t>
      </w:r>
    </w:p>
    <w:p w14:paraId="3B8B7F64">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14:paraId="1BD9EB10">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77B70D0C">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3DA7327C">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7014C30">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4469BAD1">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391967E9">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0F0CD542">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2、绩效评价的对象</w:t>
      </w:r>
    </w:p>
    <w:p w14:paraId="7D918952">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方正仿宋_GBK" w:eastAsia="仿宋_GB2312" w:cs="方正仿宋_GBK"/>
          <w:sz w:val="32"/>
          <w:szCs w:val="32"/>
          <w:lang w:eastAsia="zh-CN"/>
        </w:rPr>
      </w:pPr>
      <w:r>
        <w:rPr>
          <w:rFonts w:hint="eastAsia" w:ascii="仿宋_GB2312" w:hAnsi="方正仿宋_GBK" w:eastAsia="仿宋_GB2312" w:cs="方正仿宋_GBK"/>
          <w:sz w:val="32"/>
          <w:szCs w:val="32"/>
        </w:rPr>
        <w:t>塔城地区中心血站扩建及附属设施设备项目</w:t>
      </w:r>
      <w:r>
        <w:rPr>
          <w:rFonts w:hint="eastAsia" w:ascii="仿宋_GB2312" w:hAnsi="方正仿宋_GBK" w:eastAsia="仿宋_GB2312" w:cs="方正仿宋_GBK"/>
          <w:sz w:val="32"/>
          <w:szCs w:val="32"/>
          <w:lang w:eastAsia="zh-CN"/>
        </w:rPr>
        <w:t>。</w:t>
      </w:r>
    </w:p>
    <w:p w14:paraId="3B08D6C7">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3、绩效评价的范围</w:t>
      </w:r>
    </w:p>
    <w:p w14:paraId="3F819709">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从塔城地区中心血站扩建及附属设施设备项目的决策、过程、产出、效益等方面进行评价。</w:t>
      </w:r>
    </w:p>
    <w:p w14:paraId="10D8941E">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391A0FB2">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Cs w:val="0"/>
        </w:rPr>
      </w:pPr>
      <w:r>
        <w:rPr>
          <w:rFonts w:hint="eastAsia" w:ascii="仿宋_GB2312" w:hAnsi="仿宋_GB2312" w:eastAsia="仿宋_GB2312" w:cs="仿宋_GB2312"/>
          <w:bCs w:val="0"/>
        </w:rPr>
        <w:t>1、绩效评价原则</w:t>
      </w:r>
    </w:p>
    <w:p w14:paraId="4DDA9CC4">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206A760E">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1E974530">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55B2B66">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5853FEDD">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3D688940">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Cs w:val="0"/>
        </w:rPr>
      </w:pPr>
      <w:r>
        <w:rPr>
          <w:rFonts w:hint="eastAsia" w:ascii="仿宋_GB2312" w:hAnsi="仿宋_GB2312" w:eastAsia="仿宋_GB2312" w:cs="仿宋_GB2312"/>
          <w:bCs w:val="0"/>
        </w:rPr>
        <w:t>2、评价指标体系</w:t>
      </w:r>
    </w:p>
    <w:p w14:paraId="67B49EFF">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249631A">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77DDD9E5">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采用层次分析法，建立评价指标体系。绩效评价将指标分为项目决策、项目产出、项目效益、项目过程指标四个维度，最终形成一个由多个相互联系的指标组成的多层次指标体系。</w:t>
      </w:r>
    </w:p>
    <w:p w14:paraId="08AEB4AE">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08123AD5">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确定各个指标相对于项目总体绩效的权重分值。在绩效评价指标体系中，项目决策权重为5%，项目过程权重值占5%，项目产出权重值占50%，项目效益权重占40%。</w:t>
      </w:r>
    </w:p>
    <w:p w14:paraId="72479429">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94250D1">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5EAFFF9">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C9932EA">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14:paraId="31566863">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Cs w:val="0"/>
        </w:rPr>
      </w:pPr>
      <w:r>
        <w:rPr>
          <w:rFonts w:hint="eastAsia" w:ascii="仿宋_GB2312" w:hAnsi="仿宋_GB2312" w:eastAsia="仿宋_GB2312" w:cs="仿宋_GB2312"/>
          <w:bCs w:val="0"/>
        </w:rPr>
        <w:t>3、绩效评价方法</w:t>
      </w:r>
    </w:p>
    <w:p w14:paraId="0B15501E">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7750689">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6CE942C">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7DF6DAA1">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4C1C6920">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25314896">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6644E6E9">
      <w:pPr>
        <w:pStyle w:val="34"/>
        <w:pageBreakBefore w:val="0"/>
        <w:kinsoku/>
        <w:wordWrap/>
        <w:overflowPunct/>
        <w:topLinePunct w:val="0"/>
        <w:autoSpaceDE/>
        <w:autoSpaceDN/>
        <w:bidi w:val="0"/>
        <w:adjustRightInd/>
        <w:snapToGrid/>
        <w:spacing w:line="560" w:lineRule="atLeast"/>
        <w:textAlignment w:val="auto"/>
        <w:rPr>
          <w:rFonts w:ascii="仿宋_GB2312" w:hAnsi="方正仿宋_GBK" w:eastAsia="仿宋_GB2312" w:cs="方正仿宋_GBK"/>
          <w:b/>
          <w:bCs/>
          <w:sz w:val="32"/>
          <w:szCs w:val="32"/>
          <w:lang w:eastAsia="zh-CN"/>
        </w:rPr>
      </w:pPr>
      <w:r>
        <w:rPr>
          <w:rFonts w:hint="eastAsia" w:ascii="仿宋_GB2312" w:hAnsi="方正仿宋_GBK" w:eastAsia="仿宋_GB2312" w:cs="方正仿宋_GBK"/>
          <w:b/>
          <w:bCs/>
          <w:sz w:val="32"/>
          <w:szCs w:val="32"/>
          <w:lang w:eastAsia="zh-CN"/>
        </w:rPr>
        <w:t>4、绩效评价标准</w:t>
      </w:r>
    </w:p>
    <w:p w14:paraId="0136BB75">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绩效评价标准通常包括计划标准、行业标准、历史标准等，用于对绩效指标完成情况进行比较。本次评价主要采用了计划标准和行业标准。</w:t>
      </w:r>
    </w:p>
    <w:p w14:paraId="3516570A">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14:paraId="0FE7A54B">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4022974D">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C9D3396">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方正仿宋_GBK" w:eastAsia="仿宋_GB2312" w:cs="方正仿宋_GBK"/>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3D6C4C9A">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rPr>
      </w:pPr>
      <w:r>
        <w:rPr>
          <w:rFonts w:hint="eastAsia" w:ascii="黑体" w:hAnsi="黑体" w:eastAsia="黑体" w:cs="黑体"/>
          <w:sz w:val="32"/>
          <w:szCs w:val="32"/>
        </w:rPr>
        <w:t xml:space="preserve">三、综合评价情况及评价结论（附相关评分表）   </w:t>
      </w:r>
    </w:p>
    <w:p w14:paraId="44EBED34">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对血站扩建及附属设施设备项目进行客观评价，最终评分结果：总得分为 95.04分，属于“优”。其中，项目决策类指标权重为5分，得分为 5分，得分率为 100%。项目过程类指标权重为5分，得分为4.64 分，得分率为 92.8%。项目产出类指标权重为50分，得分为47.4分，得分率为 94.8%。项目效益类指标权重为40分，得分为38分，得分率为 95%。</w:t>
      </w:r>
    </w:p>
    <w:p w14:paraId="695DBCD5">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14:paraId="719A23FB">
      <w:pPr>
        <w:pageBreakBefore w:val="0"/>
        <w:kinsoku/>
        <w:wordWrap/>
        <w:overflowPunct/>
        <w:topLinePunct w:val="0"/>
        <w:autoSpaceDE/>
        <w:autoSpaceDN/>
        <w:bidi w:val="0"/>
        <w:adjustRightInd/>
        <w:snapToGrid/>
        <w:spacing w:line="560" w:lineRule="atLeast"/>
        <w:textAlignment w:val="auto"/>
      </w:pPr>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1A4E0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25F8425C">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67889C8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2B5503E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7163319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2F4D045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65F04D1E">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1096C41A">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2110EB65">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14BF67EE">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77D0F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72419B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p w14:paraId="2501E9D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p w14:paraId="0D3DCCC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14:paraId="1AF6CD1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14:paraId="0E672CC5">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14:paraId="48853D9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14:paraId="60659FC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6A22CC2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14:paraId="274C7AC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14:paraId="4BF4B2B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14:paraId="4DB5EBC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00FCC9B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2A54EF5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4197550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056FF0E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14:paraId="45B21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09D18D3">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70A76BD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01123B3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098F6A4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14:paraId="2EEFE04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14:paraId="2F9D714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385E78F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692AB7E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2D24BA4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4F607BF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14:paraId="63EA2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0D16D1A">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5606AE5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14:paraId="5666574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14:paraId="6CFF7F8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14:paraId="0530AAE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14:paraId="6ECF3CA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671571B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7D90FAE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09A5DA8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11871A5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3D951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1B3566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39B33A3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1328A0A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2F14724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14:paraId="0C3736F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14:paraId="1E30058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7E37065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614AFC9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5AB75C3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4B6210E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36150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9E0880C">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35BF3148">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14:paraId="2EF67FB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14:paraId="4EB1ABA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14:paraId="5DA62F1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14:paraId="0DA0549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1D53A74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7E2316E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144E35B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0C8F382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0D3D9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D30F8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1D20096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73CE610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673477C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14:paraId="4179CD6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14:paraId="4E89C3B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6EF6010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6968287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4BC3B45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57ECE21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7A03C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C82D5D">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14:paraId="2DCC0348">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14:paraId="58B663C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5C28BCE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1ACB2CC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14:paraId="1EC5DC9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5942B91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3D3C16A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4E9A87B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38CA939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5287F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49A743">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4BED1EA0">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2BF21760">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71B53F9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14:paraId="1477DFD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3C18227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193FE0F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0.64</w:t>
            </w:r>
          </w:p>
        </w:tc>
        <w:tc>
          <w:tcPr>
            <w:tcW w:w="1215" w:type="dxa"/>
            <w:shd w:val="clear" w:color="auto" w:fill="FFFFFF"/>
            <w:vAlign w:val="center"/>
          </w:tcPr>
          <w:p w14:paraId="59DB7A2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64</w:t>
            </w:r>
          </w:p>
        </w:tc>
        <w:tc>
          <w:tcPr>
            <w:tcW w:w="960" w:type="dxa"/>
            <w:shd w:val="clear" w:color="auto" w:fill="FFFFFF"/>
            <w:vAlign w:val="center"/>
          </w:tcPr>
          <w:p w14:paraId="0DD1BFF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0.64</w:t>
            </w:r>
          </w:p>
        </w:tc>
      </w:tr>
      <w:tr w14:paraId="10BBC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E5B2D17">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46F5A14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14:paraId="0CC7C30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16AF2A7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14:paraId="05BB727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14:paraId="08D7796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0EE9228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637452E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7ECB667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3F29658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7AFAB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82FDDD0">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5A063A69">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14:paraId="65094A9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14:paraId="6A29248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14:paraId="1AD935E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14:paraId="4DA1924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3702C8D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71D2988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55E8C7F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2E90EBE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293D3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F19B8D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602C3D7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0C2CF9B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35A219C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14:paraId="475065D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14:paraId="16095BF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5C6F0BE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3F93D247">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5035E0E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423821C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14:paraId="7D15C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4C3041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14:paraId="7DF7856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14:paraId="4BC1A71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14:paraId="63F9270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14:paraId="0FEF6F89">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14:paraId="5968C2B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14:paraId="06F8C71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12.4</w:t>
            </w:r>
          </w:p>
        </w:tc>
        <w:tc>
          <w:tcPr>
            <w:tcW w:w="1215" w:type="dxa"/>
            <w:shd w:val="clear" w:color="000000" w:fill="FFFFFF"/>
            <w:vAlign w:val="center"/>
          </w:tcPr>
          <w:p w14:paraId="125DE7A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82.67</w:t>
            </w:r>
          </w:p>
        </w:tc>
        <w:tc>
          <w:tcPr>
            <w:tcW w:w="960" w:type="dxa"/>
            <w:shd w:val="clear" w:color="000000" w:fill="FFFFFF"/>
            <w:vAlign w:val="center"/>
          </w:tcPr>
          <w:p w14:paraId="7152694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12.4</w:t>
            </w:r>
          </w:p>
        </w:tc>
      </w:tr>
      <w:tr w14:paraId="7A980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AEE92A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1241FE4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14:paraId="25EE2F6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14:paraId="18B6A0C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14:paraId="3393E0F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68344EC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43CEF54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14:paraId="65E900B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71CB6C2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14:paraId="5886E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BA45E73">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1E29DFF7">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14:paraId="1CA29561">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14:paraId="0CA4F25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14:paraId="70BF737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14:paraId="262E91D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14:paraId="334C14D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14:paraId="2150395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0CF69E9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14:paraId="16600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6778E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049ACB6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14:paraId="25EBD75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14:paraId="5FE1D52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14:paraId="13660AA2">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3B93980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768EE0D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14:paraId="13CF086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1951569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14:paraId="71E41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7BC3BC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14:paraId="3AAC8E0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14:paraId="41C74D1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14:paraId="427C898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14:paraId="71959B0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14:paraId="11CA7E0C">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14:paraId="1822774D">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924" w:type="dxa"/>
            <w:shd w:val="clear" w:color="auto" w:fill="FFFFFF"/>
            <w:vAlign w:val="center"/>
          </w:tcPr>
          <w:p w14:paraId="0978F305">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215" w:type="dxa"/>
            <w:shd w:val="clear" w:color="auto" w:fill="FFFFFF"/>
            <w:vAlign w:val="center"/>
          </w:tcPr>
          <w:p w14:paraId="48055B26">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93.33</w:t>
            </w:r>
          </w:p>
        </w:tc>
        <w:tc>
          <w:tcPr>
            <w:tcW w:w="960" w:type="dxa"/>
            <w:shd w:val="clear" w:color="auto" w:fill="FFFFFF"/>
            <w:vAlign w:val="center"/>
          </w:tcPr>
          <w:p w14:paraId="3FB668BF">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28</w:t>
            </w:r>
          </w:p>
        </w:tc>
      </w:tr>
      <w:tr w14:paraId="28C84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63054AB">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14:paraId="29FD9130">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14:paraId="3D38F451">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14:paraId="750E77DA">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14:paraId="1E173E78">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29ED22B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67C98C33">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14:paraId="34BDB9B4">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14:paraId="5506471E">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bl>
    <w:p w14:paraId="4623ACA0">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14:paraId="7062EB34">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14:paraId="265C9D68">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项目决策指标从项目立项、绩效目标、投入资金3个方面对项目的立项决策目标完成情况进行考察，项目决策类指标分值5分，实际得分5分，得分率100%。</w:t>
      </w:r>
    </w:p>
    <w:p w14:paraId="491123E9">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w:t>
      </w:r>
      <w:r>
        <w:rPr>
          <w:rFonts w:hint="eastAsia" w:ascii="仿宋_GB2312" w:hAnsi="方正仿宋_GBK" w:eastAsia="仿宋_GB2312" w:cs="方正仿宋_GBK"/>
          <w:color w:val="000000" w:themeColor="text1"/>
          <w:sz w:val="32"/>
          <w:szCs w:val="32"/>
        </w:rPr>
        <w:t>项目立项</w:t>
      </w:r>
      <w:r>
        <w:rPr>
          <w:rFonts w:hint="eastAsia" w:ascii="仿宋_GB2312" w:hAnsi="方正仿宋_GBK" w:eastAsia="仿宋_GB2312" w:cs="方正仿宋_GBK"/>
          <w:sz w:val="32"/>
          <w:szCs w:val="32"/>
        </w:rPr>
        <w:t>”，“血站扩建及附属设施设备项目”项目的立项符合规划，项目单位的绩效指标设置清晰、合理、指标设置完整。根据评分标准，实际得分率为100%。</w:t>
      </w:r>
    </w:p>
    <w:p w14:paraId="113E412C">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w:t>
      </w:r>
      <w:r>
        <w:rPr>
          <w:rFonts w:hint="eastAsia" w:ascii="仿宋_GB2312" w:hAnsi="宋体" w:eastAsia="仿宋_GB2312" w:cs="宋体"/>
          <w:color w:val="000000" w:themeColor="text1"/>
          <w:kern w:val="0"/>
          <w:sz w:val="32"/>
          <w:szCs w:val="32"/>
        </w:rPr>
        <w:t>绩效目标</w:t>
      </w:r>
      <w:r>
        <w:rPr>
          <w:rFonts w:hint="eastAsia" w:ascii="仿宋_GB2312" w:hAnsi="方正仿宋_GBK" w:eastAsia="仿宋_GB2312" w:cs="方正仿宋_GBK"/>
          <w:sz w:val="32"/>
          <w:szCs w:val="32"/>
        </w:rPr>
        <w:t>”，血站扩建及附属设施设备项目是依据</w:t>
      </w:r>
      <w:r>
        <w:rPr>
          <w:rFonts w:ascii="仿宋_GB2312" w:hAnsi="宋体" w:eastAsia="仿宋_GB2312" w:cs="宋体"/>
          <w:color w:val="000000" w:themeColor="text1"/>
          <w:kern w:val="0"/>
          <w:sz w:val="32"/>
          <w:szCs w:val="32"/>
        </w:rPr>
        <w:t>塔地财预[2020]0509号</w:t>
      </w:r>
      <w:r>
        <w:rPr>
          <w:rFonts w:hint="eastAsia" w:ascii="仿宋_GB2312" w:hAnsi="方正仿宋_GBK" w:eastAsia="仿宋_GB2312" w:cs="方正仿宋_GBK"/>
          <w:sz w:val="32"/>
          <w:szCs w:val="32"/>
        </w:rPr>
        <w:t>文件，项目资金申请文件齐全，申报材料审批完整。根据评分标准，实际得分率为100%。</w:t>
      </w:r>
    </w:p>
    <w:p w14:paraId="411E6BC9">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对于“投入资金”，血站扩建及附属设施设备项目投入资金到位及时，投入率为100%。根据评分标准，该指标不扣分。</w:t>
      </w:r>
    </w:p>
    <w:p w14:paraId="443DA493">
      <w:pPr>
        <w:pStyle w:val="2"/>
        <w:pageBreakBefore w:val="0"/>
        <w:numPr>
          <w:ilvl w:val="0"/>
          <w:numId w:val="4"/>
        </w:numPr>
        <w:kinsoku/>
        <w:wordWrap/>
        <w:overflowPunct/>
        <w:topLinePunct w:val="0"/>
        <w:autoSpaceDE/>
        <w:autoSpaceDN/>
        <w:bidi w:val="0"/>
        <w:adjustRightInd/>
        <w:snapToGri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14:paraId="52103110">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color w:val="000000" w:themeColor="text1"/>
          <w:sz w:val="32"/>
          <w:szCs w:val="32"/>
        </w:rPr>
      </w:pPr>
      <w:r>
        <w:rPr>
          <w:rFonts w:hint="eastAsia" w:ascii="仿宋_GB2312" w:hAnsi="方正仿宋_GBK" w:eastAsia="仿宋_GB2312" w:cs="方正仿宋_GBK"/>
          <w:color w:val="000000" w:themeColor="text1"/>
          <w:sz w:val="32"/>
          <w:szCs w:val="32"/>
        </w:rPr>
        <w:t>项目过程从项目资金的资金管理:资金到位率、预算执行率、资金使用合规性、管理制度健全性、制度执行有效性;五个方面对项目的管理过程情况进行考察。项目过程指标分值5分，实际得分4.64分，得分率为92.8 %。</w:t>
      </w:r>
    </w:p>
    <w:p w14:paraId="173F68EB">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对于“资金到位率”，血站扩建及附属设施设备项目资金到位及时，到位率为100%。根据评分标准，该指标不扣分。</w:t>
      </w:r>
    </w:p>
    <w:p w14:paraId="0912ADEB">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对于“预算执行率”项目经过向本级财政申请资金， 2020年取得财政拨款项目预算资金为70万元，实际使用43.08万元。根据评分标准，该指标实际得分率61.55%。</w:t>
      </w:r>
    </w:p>
    <w:p w14:paraId="1B70487F">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color w:val="000000" w:themeColor="text1"/>
          <w:sz w:val="32"/>
          <w:szCs w:val="32"/>
        </w:rPr>
        <w:t>对</w:t>
      </w:r>
      <w:r>
        <w:rPr>
          <w:rFonts w:hint="eastAsia" w:ascii="仿宋_GB2312" w:hAnsi="方正仿宋_GBK" w:eastAsia="仿宋_GB2312" w:cs="方正仿宋_GBK"/>
          <w:sz w:val="32"/>
          <w:szCs w:val="32"/>
        </w:rPr>
        <w:t>“</w:t>
      </w:r>
      <w:r>
        <w:rPr>
          <w:rFonts w:hint="eastAsia" w:ascii="仿宋_GB2312" w:hAnsi="方正仿宋_GBK" w:eastAsia="仿宋_GB2312" w:cs="方正仿宋_GBK"/>
          <w:color w:val="000000" w:themeColor="text1"/>
          <w:sz w:val="32"/>
          <w:szCs w:val="32"/>
        </w:rPr>
        <w:t>资金使用合规性</w:t>
      </w:r>
      <w:r>
        <w:rPr>
          <w:rFonts w:hint="eastAsia" w:ascii="仿宋_GB2312" w:hAnsi="方正仿宋_GBK" w:eastAsia="仿宋_GB2312" w:cs="方正仿宋_GBK"/>
          <w:sz w:val="32"/>
          <w:szCs w:val="32"/>
        </w:rPr>
        <w:t>”血站扩建及附属设施设备项目按照专项资金列支的范围使用资金，支出范围合规；资金支出能按财务制度执行，并能按国库集中支付制度规定执行，不存在资金违纪违规使用情况；按评分标准，指标实际得分率100%。</w:t>
      </w:r>
    </w:p>
    <w:p w14:paraId="527FD1E3">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对于“管理制度建设”，塔城地区中心血站制定了内部控制制度及资金管理制度，内控手册包括预算、资产、采购等管理办法；根据评分标准，该指标不扣分。</w:t>
      </w:r>
    </w:p>
    <w:p w14:paraId="3EF52C02">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血站扩建及附属设施设备项目过程控制执行符合业务管理的规定；项目管理、实施人员均落实到位，能按照方案和计划执行；项目无调整，资料齐全；项目建立了监控结果反馈和应用机制，资金使用依据合格，无虚列套取项目支出，无超标准开支。</w:t>
      </w:r>
    </w:p>
    <w:p w14:paraId="71D38FE6">
      <w:pPr>
        <w:pageBreakBefore w:val="0"/>
        <w:kinsoku/>
        <w:wordWrap/>
        <w:overflowPunct/>
        <w:topLinePunct w:val="0"/>
        <w:autoSpaceDE/>
        <w:autoSpaceDN/>
        <w:bidi w:val="0"/>
        <w:adjustRightInd/>
        <w:snapToGrid/>
        <w:spacing w:line="560" w:lineRule="atLeast"/>
        <w:textAlignment w:val="auto"/>
      </w:pPr>
    </w:p>
    <w:p w14:paraId="20CF7911">
      <w:pPr>
        <w:pStyle w:val="17"/>
        <w:pageBreakBefore w:val="0"/>
        <w:numPr>
          <w:ilvl w:val="0"/>
          <w:numId w:val="4"/>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14:paraId="404BE87B">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数量指标方面：完成血站扩建面积，年度指标值≥1100平方米，实际完成值1100平方米，指标完成率100%。</w:t>
      </w:r>
      <w:r>
        <w:rPr>
          <w:rFonts w:ascii="仿宋_GB2312" w:hAnsi="方正仿宋_GBK" w:eastAsia="仿宋_GB2312" w:cs="方正仿宋_GBK"/>
          <w:sz w:val="32"/>
          <w:szCs w:val="32"/>
        </w:rPr>
        <w:t xml:space="preserve"> </w:t>
      </w:r>
    </w:p>
    <w:p w14:paraId="2E8928D2">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质量指标方面：工程量完成率，年度指标值＝100%，实际完成值100%，指标完成率100%；可行性研究规范性，年度指标值＝100%，实际完成值100%，指标完成率100%。</w:t>
      </w:r>
    </w:p>
    <w:p w14:paraId="0A3C584D">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Style w:val="49"/>
          <w:rFonts w:hint="eastAsia"/>
          <w:color w:val="auto"/>
        </w:rPr>
        <w:t>成本指标方面：目标成本控制，</w:t>
      </w:r>
      <w:r>
        <w:rPr>
          <w:rFonts w:hint="eastAsia" w:ascii="仿宋_GB2312" w:hAnsi="方正仿宋_GBK" w:eastAsia="仿宋_GB2312" w:cs="方正仿宋_GBK"/>
          <w:sz w:val="32"/>
          <w:szCs w:val="32"/>
        </w:rPr>
        <w:t>年度指标值≤70万元，实际完成值43.08万元，指标完成率100%。</w:t>
      </w:r>
      <w:r>
        <w:rPr>
          <w:rFonts w:ascii="仿宋_GB2312" w:hAnsi="方正仿宋_GBK" w:eastAsia="仿宋_GB2312" w:cs="方正仿宋_GBK"/>
          <w:sz w:val="32"/>
          <w:szCs w:val="32"/>
        </w:rPr>
        <w:t xml:space="preserve"> </w:t>
      </w:r>
    </w:p>
    <w:p w14:paraId="1C1E2D00">
      <w:pPr>
        <w:pageBreakBefore w:val="0"/>
        <w:kinsoku/>
        <w:wordWrap/>
        <w:overflowPunct/>
        <w:topLinePunct w:val="0"/>
        <w:autoSpaceDE/>
        <w:autoSpaceDN/>
        <w:bidi w:val="0"/>
        <w:adjustRightInd/>
        <w:snapToGrid/>
        <w:spacing w:line="560" w:lineRule="atLeast"/>
        <w:ind w:firstLine="640" w:firstLineChars="200"/>
        <w:textAlignment w:val="auto"/>
        <w:rPr>
          <w:rStyle w:val="49"/>
          <w:color w:val="auto"/>
        </w:rPr>
      </w:pPr>
      <w:r>
        <w:rPr>
          <w:rStyle w:val="49"/>
          <w:rFonts w:hint="eastAsia"/>
          <w:color w:val="auto"/>
        </w:rPr>
        <w:t>时效指标方面：项目完成时间，年度指标值≥1月&amp;&amp;≤12月，实际完成值2020年12月，指标完成率100%。</w:t>
      </w:r>
      <w:r>
        <w:rPr>
          <w:rStyle w:val="49"/>
          <w:color w:val="auto"/>
        </w:rPr>
        <w:t xml:space="preserve"> </w:t>
      </w:r>
    </w:p>
    <w:p w14:paraId="5862929A">
      <w:pPr>
        <w:pStyle w:val="17"/>
        <w:pageBreakBefore w:val="0"/>
        <w:numPr>
          <w:ilvl w:val="0"/>
          <w:numId w:val="4"/>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14:paraId="0463F030">
      <w:pPr>
        <w:pageBreakBefore w:val="0"/>
        <w:kinsoku/>
        <w:wordWrap/>
        <w:overflowPunct/>
        <w:topLinePunct w:val="0"/>
        <w:autoSpaceDE/>
        <w:autoSpaceDN/>
        <w:bidi w:val="0"/>
        <w:adjustRightInd/>
        <w:snapToGrid/>
        <w:spacing w:line="560" w:lineRule="atLeast"/>
        <w:ind w:firstLine="640"/>
        <w:textAlignment w:val="auto"/>
        <w:rPr>
          <w:rStyle w:val="49"/>
          <w:color w:val="auto"/>
        </w:rPr>
      </w:pPr>
      <w:r>
        <w:rPr>
          <w:rStyle w:val="49"/>
          <w:rFonts w:hint="eastAsia"/>
          <w:color w:val="auto"/>
        </w:rPr>
        <w:t>经济效益指标方面：预期带来非税收入，年度指标值≥420万元，实际完成值373.16万元，指标完成率88.85%。</w:t>
      </w:r>
      <w:r>
        <w:rPr>
          <w:rStyle w:val="49"/>
          <w:color w:val="auto"/>
        </w:rPr>
        <w:t xml:space="preserve"> </w:t>
      </w:r>
    </w:p>
    <w:p w14:paraId="7E44AC40">
      <w:pPr>
        <w:pageBreakBefore w:val="0"/>
        <w:kinsoku/>
        <w:wordWrap/>
        <w:overflowPunct/>
        <w:topLinePunct w:val="0"/>
        <w:autoSpaceDE/>
        <w:autoSpaceDN/>
        <w:bidi w:val="0"/>
        <w:adjustRightInd/>
        <w:snapToGrid/>
        <w:spacing w:line="560" w:lineRule="atLeast"/>
        <w:ind w:firstLine="640" w:firstLineChars="200"/>
        <w:textAlignment w:val="auto"/>
        <w:rPr>
          <w:rStyle w:val="49"/>
          <w:color w:val="auto"/>
        </w:rPr>
      </w:pPr>
      <w:r>
        <w:rPr>
          <w:rStyle w:val="49"/>
          <w:rFonts w:hint="eastAsia"/>
          <w:color w:val="auto"/>
        </w:rPr>
        <w:t>社会效益指标方面：解决办公用房人数，年度指标值≥30人，实际完成值30人，指标完成率100%。</w:t>
      </w:r>
    </w:p>
    <w:p w14:paraId="4287D3F5">
      <w:pPr>
        <w:pageBreakBefore w:val="0"/>
        <w:kinsoku/>
        <w:wordWrap/>
        <w:overflowPunct/>
        <w:topLinePunct w:val="0"/>
        <w:autoSpaceDE/>
        <w:autoSpaceDN/>
        <w:bidi w:val="0"/>
        <w:adjustRightInd/>
        <w:snapToGrid/>
        <w:spacing w:line="560" w:lineRule="atLeast"/>
        <w:ind w:firstLine="640" w:firstLineChars="200"/>
        <w:textAlignment w:val="auto"/>
        <w:rPr>
          <w:rStyle w:val="49"/>
          <w:color w:val="auto"/>
        </w:rPr>
      </w:pPr>
      <w:r>
        <w:rPr>
          <w:rStyle w:val="49"/>
          <w:color w:val="auto"/>
        </w:rPr>
        <w:t>可持续影响指标</w:t>
      </w:r>
      <w:r>
        <w:rPr>
          <w:rStyle w:val="49"/>
          <w:rFonts w:hint="eastAsia"/>
          <w:color w:val="auto"/>
        </w:rPr>
        <w:t>方面：房屋使用年限，年度指标值=50年，实际完成值50年，指标完成率100%。</w:t>
      </w:r>
    </w:p>
    <w:p w14:paraId="40CB9267">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Style w:val="49"/>
          <w:color w:val="auto"/>
        </w:rPr>
        <w:t>满意度指标</w:t>
      </w:r>
      <w:r>
        <w:rPr>
          <w:rStyle w:val="49"/>
          <w:rFonts w:hint="eastAsia"/>
          <w:color w:val="auto"/>
        </w:rPr>
        <w:t>方面：员工满意度，</w:t>
      </w:r>
      <w:r>
        <w:rPr>
          <w:rFonts w:hint="eastAsia" w:ascii="仿宋_GB2312" w:hAnsi="方正仿宋_GBK" w:eastAsia="仿宋_GB2312" w:cs="方正仿宋_GBK"/>
          <w:sz w:val="32"/>
          <w:szCs w:val="32"/>
        </w:rPr>
        <w:t>年度指标值95%，、实际完成指标95%。</w:t>
      </w:r>
    </w:p>
    <w:p w14:paraId="3FA48784">
      <w:pPr>
        <w:pageBreakBefore w:val="0"/>
        <w:kinsoku/>
        <w:wordWrap/>
        <w:overflowPunct/>
        <w:topLinePunct w:val="0"/>
        <w:autoSpaceDE/>
        <w:autoSpaceDN/>
        <w:bidi w:val="0"/>
        <w:adjustRightInd/>
        <w:snapToGrid/>
        <w:spacing w:line="560" w:lineRule="atLeast"/>
        <w:ind w:firstLine="641"/>
        <w:textAlignment w:val="auto"/>
        <w:rPr>
          <w:rStyle w:val="49"/>
          <w:color w:val="auto"/>
        </w:rPr>
      </w:pPr>
      <w:r>
        <w:rPr>
          <w:rFonts w:hint="eastAsia" w:ascii="黑体" w:hAnsi="黑体" w:eastAsia="黑体"/>
          <w:sz w:val="32"/>
          <w:szCs w:val="32"/>
        </w:rPr>
        <w:t>五、主要经验及做法、存在的问题及原因分析</w:t>
      </w:r>
    </w:p>
    <w:p w14:paraId="670FD09D">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14:paraId="1A9E5F31">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D058BE6">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A011CA5">
      <w:pPr>
        <w:keepNext/>
        <w:keepLines/>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14044000">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方正仿宋_GBK" w:eastAsia="仿宋_GB2312" w:cs="方正仿宋_GBK"/>
          <w:b/>
          <w:bCs/>
          <w:sz w:val="32"/>
          <w:szCs w:val="32"/>
        </w:rPr>
      </w:pPr>
      <w:r>
        <w:rPr>
          <w:rFonts w:hint="eastAsia" w:ascii="仿宋_GB2312" w:hAnsi="方正仿宋_GBK" w:eastAsia="仿宋_GB2312" w:cs="方正仿宋_GBK"/>
          <w:b/>
          <w:bCs/>
          <w:sz w:val="32"/>
          <w:szCs w:val="32"/>
        </w:rPr>
        <w:t>1、存在的问题</w:t>
      </w:r>
    </w:p>
    <w:p w14:paraId="3971BE97">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项目预算安排资金70万元，编制预算为70万元，实际使用43.08万元，因工程财政审核压减资金使项目实际预算执行率有所减少，只有61.55%，项目资金的预算执行存在未完全执行预算的情况。</w:t>
      </w:r>
    </w:p>
    <w:p w14:paraId="51BBAC03">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14:paraId="5003E0F5">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方正仿宋_GBK" w:eastAsia="仿宋_GB2312" w:cs="方正仿宋_GBK"/>
          <w:sz w:val="32"/>
          <w:szCs w:val="32"/>
        </w:rPr>
      </w:pPr>
      <w:r>
        <w:rPr>
          <w:rFonts w:hint="eastAsia" w:ascii="仿宋_GB2312" w:hAnsi="方正仿宋_GBK" w:eastAsia="仿宋_GB2312" w:cs="方正仿宋_GBK"/>
          <w:sz w:val="32"/>
          <w:szCs w:val="32"/>
        </w:rPr>
        <w:t>因疫情的原因导致血站扩建及附属设施设备项目土建部分施工缓慢，施工材料因物流停运供货商无法将设备运达我站，造成项目资金的预算执行存在未完程的情况。</w:t>
      </w:r>
    </w:p>
    <w:p w14:paraId="0D3F5C03">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六、有关建议</w:t>
      </w:r>
    </w:p>
    <w:p w14:paraId="4AB6FD96">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4574123F">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14:paraId="3921CFA6">
      <w:pPr>
        <w:pageBreakBefore w:val="0"/>
        <w:kinsoku/>
        <w:wordWrap/>
        <w:overflowPunct/>
        <w:topLinePunct w:val="0"/>
        <w:autoSpaceDE/>
        <w:autoSpaceDN/>
        <w:bidi w:val="0"/>
        <w:adjustRightInd/>
        <w:snapToGrid/>
        <w:spacing w:line="560" w:lineRule="atLeast"/>
        <w:ind w:firstLine="640" w:firstLineChars="200"/>
        <w:textAlignment w:val="auto"/>
        <w:rPr>
          <w:rFonts w:ascii="黑体" w:hAnsi="黑体" w:eastAsia="黑体"/>
          <w:sz w:val="32"/>
          <w:szCs w:val="32"/>
        </w:rPr>
      </w:pPr>
      <w:r>
        <w:rPr>
          <w:rFonts w:hint="eastAsia" w:ascii="黑体" w:hAnsi="黑体" w:eastAsia="黑体"/>
          <w:sz w:val="32"/>
          <w:szCs w:val="32"/>
        </w:rPr>
        <w:t>七、其他需要说</w:t>
      </w:r>
      <w:bookmarkStart w:id="1" w:name="page8"/>
      <w:bookmarkEnd w:id="1"/>
      <w:r>
        <w:rPr>
          <w:rFonts w:hint="eastAsia" w:ascii="黑体" w:hAnsi="黑体" w:eastAsia="黑体"/>
          <w:sz w:val="32"/>
          <w:szCs w:val="32"/>
        </w:rPr>
        <w:t>明的问题</w:t>
      </w:r>
    </w:p>
    <w:p w14:paraId="21F1E9F6">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方正仿宋_GBK" w:eastAsia="仿宋_GB2312" w:cs="方正仿宋_GBK"/>
          <w:sz w:val="32"/>
          <w:szCs w:val="32"/>
          <w:lang w:eastAsia="zh-CN"/>
        </w:rPr>
      </w:pPr>
      <w:r>
        <w:rPr>
          <w:rFonts w:hint="eastAsia" w:ascii="仿宋_GB2312" w:hAnsi="方正仿宋_GBK" w:eastAsia="仿宋_GB2312" w:cs="方正仿宋_GBK"/>
          <w:sz w:val="32"/>
          <w:szCs w:val="32"/>
        </w:rPr>
        <w:t>无</w:t>
      </w:r>
      <w:r>
        <w:rPr>
          <w:rFonts w:hint="eastAsia" w:ascii="仿宋_GB2312" w:hAnsi="方正仿宋_GBK" w:eastAsia="仿宋_GB2312" w:cs="方正仿宋_GBK"/>
          <w:sz w:val="32"/>
          <w:szCs w:val="32"/>
          <w:lang w:eastAsia="zh-CN"/>
        </w:rPr>
        <w:t>。</w:t>
      </w:r>
    </w:p>
    <w:p w14:paraId="7F97AEC9">
      <w:pPr>
        <w:pageBreakBefore w:val="0"/>
        <w:kinsoku/>
        <w:wordWrap/>
        <w:overflowPunct/>
        <w:topLinePunct w:val="0"/>
        <w:autoSpaceDE/>
        <w:autoSpaceDN/>
        <w:bidi w:val="0"/>
        <w:adjustRightInd/>
        <w:snapToGrid/>
        <w:spacing w:line="560" w:lineRule="atLeast"/>
        <w:textAlignment w:val="auto"/>
        <w:rPr>
          <w:rFonts w:ascii="黑体" w:hAnsi="黑体" w:eastAsia="黑体"/>
          <w:sz w:val="32"/>
          <w:szCs w:val="32"/>
        </w:rPr>
      </w:pPr>
    </w:p>
    <w:p w14:paraId="5D7EAACE">
      <w:pPr>
        <w:pStyle w:val="2"/>
        <w:rPr>
          <w:rFonts w:ascii="黑体" w:hAnsi="黑体" w:eastAsia="黑体"/>
        </w:rPr>
      </w:pPr>
    </w:p>
    <w:p w14:paraId="599BE8DB"/>
    <w:tbl>
      <w:tblPr>
        <w:tblStyle w:val="18"/>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1056"/>
        <w:gridCol w:w="1305"/>
        <w:gridCol w:w="1155"/>
        <w:gridCol w:w="420"/>
        <w:gridCol w:w="2049"/>
      </w:tblGrid>
      <w:tr w14:paraId="0D4DF6FE">
        <w:tblPrEx>
          <w:tblCellMar>
            <w:top w:w="0" w:type="dxa"/>
            <w:left w:w="0" w:type="dxa"/>
            <w:bottom w:w="0" w:type="dxa"/>
            <w:right w:w="0" w:type="dxa"/>
          </w:tblCellMar>
        </w:tblPrEx>
        <w:trPr>
          <w:trHeight w:val="409" w:hRule="atLeast"/>
        </w:trPr>
        <w:tc>
          <w:tcPr>
            <w:tcW w:w="9345" w:type="dxa"/>
            <w:gridSpan w:val="9"/>
            <w:tcBorders>
              <w:top w:val="nil"/>
              <w:left w:val="nil"/>
              <w:bottom w:val="nil"/>
              <w:right w:val="nil"/>
            </w:tcBorders>
            <w:shd w:val="clear" w:color="auto" w:fill="auto"/>
            <w:tcMar>
              <w:top w:w="15" w:type="dxa"/>
              <w:left w:w="15" w:type="dxa"/>
              <w:right w:w="15" w:type="dxa"/>
            </w:tcMar>
            <w:vAlign w:val="center"/>
          </w:tcPr>
          <w:p w14:paraId="17DD92BB">
            <w:pPr>
              <w:keepNext w:val="0"/>
              <w:keepLines w:val="0"/>
              <w:widowControl/>
              <w:suppressLineNumbers w:val="0"/>
              <w:jc w:val="center"/>
              <w:textAlignment w:val="center"/>
              <w:rPr>
                <w:rFonts w:hint="eastAsia" w:ascii="宋体" w:hAnsi="宋体" w:eastAsia="宋体" w:cs="宋体"/>
                <w:b/>
                <w:i w:val="0"/>
                <w:color w:val="000000"/>
                <w:sz w:val="32"/>
                <w:szCs w:val="32"/>
                <w:u w:val="none"/>
              </w:rPr>
            </w:pPr>
          </w:p>
        </w:tc>
      </w:tr>
      <w:tr w14:paraId="0A5301C0">
        <w:tblPrEx>
          <w:tblCellMar>
            <w:top w:w="0" w:type="dxa"/>
            <w:left w:w="0" w:type="dxa"/>
            <w:bottom w:w="0" w:type="dxa"/>
            <w:right w:w="0" w:type="dxa"/>
          </w:tblCellMar>
        </w:tblPrEx>
        <w:trPr>
          <w:trHeight w:val="409" w:hRule="atLeast"/>
        </w:trPr>
        <w:tc>
          <w:tcPr>
            <w:tcW w:w="9345" w:type="dxa"/>
            <w:gridSpan w:val="9"/>
            <w:tcBorders>
              <w:top w:val="nil"/>
              <w:left w:val="nil"/>
              <w:bottom w:val="nil"/>
              <w:right w:val="nil"/>
            </w:tcBorders>
            <w:shd w:val="clear" w:color="auto" w:fill="auto"/>
            <w:tcMar>
              <w:top w:w="15" w:type="dxa"/>
              <w:left w:w="15" w:type="dxa"/>
              <w:right w:w="15" w:type="dxa"/>
            </w:tcMar>
            <w:vAlign w:val="center"/>
          </w:tcPr>
          <w:p w14:paraId="55C267D2">
            <w:pPr>
              <w:keepNext w:val="0"/>
              <w:keepLines w:val="0"/>
              <w:widowControl/>
              <w:suppressLineNumbers w:val="0"/>
              <w:jc w:val="center"/>
              <w:textAlignment w:val="center"/>
              <w:rPr>
                <w:rFonts w:hint="eastAsia" w:ascii="方正小标宋简体" w:hAnsi="方正小标宋简体" w:eastAsia="方正小标宋简体" w:cs="方正小标宋简体"/>
                <w:i w:val="0"/>
                <w:color w:val="000000"/>
                <w:kern w:val="0"/>
                <w:sz w:val="44"/>
                <w:szCs w:val="44"/>
                <w:u w:val="none"/>
                <w:lang w:val="en-US" w:eastAsia="zh-CN" w:bidi="ar"/>
              </w:rPr>
            </w:pPr>
            <w:r>
              <w:rPr>
                <w:rFonts w:hint="eastAsia" w:ascii="方正小标宋简体" w:hAnsi="方正小标宋简体" w:eastAsia="方正小标宋简体" w:cs="方正小标宋简体"/>
                <w:i w:val="0"/>
                <w:color w:val="000000"/>
                <w:kern w:val="0"/>
                <w:sz w:val="44"/>
                <w:szCs w:val="44"/>
                <w:u w:val="none"/>
                <w:lang w:val="en-US" w:eastAsia="zh-CN" w:bidi="ar"/>
              </w:rPr>
              <w:t>项目支出绩效自评表</w:t>
            </w:r>
          </w:p>
          <w:p w14:paraId="093829D8">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xml:space="preserve">  </w:t>
            </w:r>
            <w:r>
              <w:rPr>
                <w:rFonts w:hint="eastAsia" w:ascii="宋体" w:hAnsi="宋体" w:cs="宋体"/>
                <w:i w:val="0"/>
                <w:color w:val="000000"/>
                <w:kern w:val="0"/>
                <w:sz w:val="32"/>
                <w:szCs w:val="32"/>
                <w:u w:val="none"/>
                <w:lang w:val="en-US" w:eastAsia="zh-CN" w:bidi="ar"/>
              </w:rPr>
              <w:t>（</w:t>
            </w:r>
            <w:r>
              <w:rPr>
                <w:rFonts w:hint="eastAsia" w:ascii="宋体" w:hAnsi="宋体" w:eastAsia="宋体" w:cs="宋体"/>
                <w:i w:val="0"/>
                <w:color w:val="000000"/>
                <w:kern w:val="0"/>
                <w:sz w:val="32"/>
                <w:szCs w:val="32"/>
                <w:u w:val="none"/>
                <w:lang w:val="en-US" w:eastAsia="zh-CN" w:bidi="ar"/>
              </w:rPr>
              <w:t xml:space="preserve"> 2020 年度）</w:t>
            </w:r>
          </w:p>
        </w:tc>
      </w:tr>
      <w:tr w14:paraId="59746CED">
        <w:tblPrEx>
          <w:shd w:val="clear" w:color="auto" w:fill="auto"/>
          <w:tblCellMar>
            <w:top w:w="0" w:type="dxa"/>
            <w:left w:w="0" w:type="dxa"/>
            <w:bottom w:w="0" w:type="dxa"/>
            <w:right w:w="0" w:type="dxa"/>
          </w:tblCellMar>
        </w:tblPrEx>
        <w:trPr>
          <w:trHeight w:val="270" w:hRule="atLeast"/>
        </w:trPr>
        <w:tc>
          <w:tcPr>
            <w:tcW w:w="9345" w:type="dxa"/>
            <w:gridSpan w:val="9"/>
            <w:tcBorders>
              <w:top w:val="nil"/>
              <w:left w:val="nil"/>
              <w:bottom w:val="nil"/>
              <w:right w:val="nil"/>
            </w:tcBorders>
            <w:shd w:val="clear" w:color="auto" w:fill="auto"/>
            <w:tcMar>
              <w:top w:w="15" w:type="dxa"/>
              <w:left w:w="15" w:type="dxa"/>
              <w:right w:w="15" w:type="dxa"/>
            </w:tcMar>
            <w:vAlign w:val="center"/>
          </w:tcPr>
          <w:p w14:paraId="525B8C1B">
            <w:pPr>
              <w:jc w:val="center"/>
              <w:rPr>
                <w:rFonts w:hint="eastAsia" w:ascii="宋体" w:hAnsi="宋体" w:eastAsia="宋体" w:cs="宋体"/>
                <w:i w:val="0"/>
                <w:color w:val="000000"/>
                <w:sz w:val="22"/>
                <w:szCs w:val="22"/>
                <w:u w:val="none"/>
              </w:rPr>
            </w:pPr>
          </w:p>
        </w:tc>
      </w:tr>
      <w:tr w14:paraId="165811D1">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EC6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4D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血站扩建及附属设施设备</w:t>
            </w:r>
          </w:p>
        </w:tc>
      </w:tr>
      <w:tr w14:paraId="57085012">
        <w:tblPrEx>
          <w:tblCellMar>
            <w:top w:w="0" w:type="dxa"/>
            <w:left w:w="0" w:type="dxa"/>
            <w:bottom w:w="0" w:type="dxa"/>
            <w:right w:w="0" w:type="dxa"/>
          </w:tblCellMar>
        </w:tblPrEx>
        <w:trPr>
          <w:trHeight w:val="4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FE8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0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DBCC1">
            <w:pPr>
              <w:jc w:val="center"/>
              <w:rPr>
                <w:rFonts w:hint="eastAsia" w:ascii="宋体" w:hAnsi="宋体" w:eastAsia="宋体" w:cs="宋体"/>
                <w:i w:val="0"/>
                <w:color w:val="000000"/>
                <w:sz w:val="18"/>
                <w:szCs w:val="18"/>
                <w:u w:val="none"/>
              </w:rPr>
            </w:pP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884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E506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塔城地区中心血站</w:t>
            </w:r>
          </w:p>
        </w:tc>
      </w:tr>
      <w:tr w14:paraId="0129110D">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DF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14:paraId="3B9E7FD5">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42571D4">
            <w:pPr>
              <w:rPr>
                <w:rFonts w:hint="default" w:ascii="Arial" w:hAnsi="Arial" w:cs="Arial"/>
                <w:i w:val="0"/>
                <w:color w:val="000000"/>
                <w:sz w:val="20"/>
                <w:szCs w:val="20"/>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5C9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06D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7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86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D38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07879C63">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CD2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D05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8EF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08E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157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AB7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43.08</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1C6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61.55%</w:t>
            </w:r>
          </w:p>
        </w:tc>
      </w:tr>
      <w:tr w14:paraId="59EF3A9D">
        <w:tblPrEx>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BB688">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4C5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9C9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E1D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70.00</w:t>
            </w:r>
          </w:p>
        </w:tc>
        <w:tc>
          <w:tcPr>
            <w:tcW w:w="157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1C9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43.08</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F1D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7982CF6">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3C79E">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B60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471D3">
            <w:pPr>
              <w:jc w:val="center"/>
              <w:rPr>
                <w:rFonts w:hint="eastAsia" w:ascii="宋体" w:hAnsi="宋体" w:eastAsia="宋体" w:cs="宋体"/>
                <w:i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028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7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0DD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8C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BCEC645">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6A4CB">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9CB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1C2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FFA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7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44C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272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19DD53F">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5ED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8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AD6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6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297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F1A7E39">
        <w:tblPrEx>
          <w:tblCellMar>
            <w:top w:w="0" w:type="dxa"/>
            <w:left w:w="0" w:type="dxa"/>
            <w:bottom w:w="0" w:type="dxa"/>
            <w:right w:w="0" w:type="dxa"/>
          </w:tblCellMar>
        </w:tblPrEx>
        <w:trPr>
          <w:trHeight w:val="177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31D8C">
            <w:pPr>
              <w:jc w:val="center"/>
              <w:rPr>
                <w:rFonts w:hint="eastAsia" w:ascii="宋体" w:hAnsi="宋体" w:eastAsia="宋体" w:cs="宋体"/>
                <w:i w:val="0"/>
                <w:color w:val="000000"/>
                <w:sz w:val="18"/>
                <w:szCs w:val="18"/>
                <w:u w:val="none"/>
              </w:rPr>
            </w:pPr>
          </w:p>
        </w:tc>
        <w:tc>
          <w:tcPr>
            <w:tcW w:w="48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4BCB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目标1：为进一步改善塔城地区医疗卫生条件，切实提升塔城地区中心血站医疗卫生服务水平。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目标2：解决血站业务用房紧张，扩大血站规模，实施血站改扩建项目。</w:t>
            </w:r>
          </w:p>
        </w:tc>
        <w:tc>
          <w:tcPr>
            <w:tcW w:w="36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5C1E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目标1：为进一步改善塔城地区医疗卫生条件，切实提升塔城地区中心血站医疗卫生服务水平。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目标2：解决血站业务用房紧张，扩大血站规模，实施血站改扩建项目。</w:t>
            </w:r>
          </w:p>
        </w:tc>
      </w:tr>
      <w:tr w14:paraId="17130F51">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57569">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E07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568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8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F9C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0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44B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4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AF6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5E8D1AA4">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B5570">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5A675">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04B8E">
            <w:pPr>
              <w:jc w:val="center"/>
              <w:rPr>
                <w:rFonts w:hint="eastAsia" w:ascii="宋体" w:hAnsi="宋体" w:eastAsia="宋体" w:cs="宋体"/>
                <w:i w:val="0"/>
                <w:color w:val="000000"/>
                <w:sz w:val="18"/>
                <w:szCs w:val="18"/>
                <w:u w:val="none"/>
              </w:rPr>
            </w:pPr>
          </w:p>
        </w:tc>
        <w:tc>
          <w:tcPr>
            <w:tcW w:w="1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951EE">
            <w:pPr>
              <w:jc w:val="center"/>
              <w:rPr>
                <w:rFonts w:hint="eastAsia" w:ascii="宋体" w:hAnsi="宋体" w:eastAsia="宋体" w:cs="宋体"/>
                <w:i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D7D45">
            <w:pPr>
              <w:jc w:val="center"/>
              <w:rPr>
                <w:rFonts w:hint="eastAsia" w:ascii="宋体" w:hAnsi="宋体" w:eastAsia="宋体" w:cs="宋体"/>
                <w:i w:val="0"/>
                <w:color w:val="000000"/>
                <w:sz w:val="18"/>
                <w:szCs w:val="1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3A54B">
            <w:pPr>
              <w:jc w:val="center"/>
              <w:rPr>
                <w:rFonts w:hint="eastAsia" w:ascii="宋体" w:hAnsi="宋体" w:eastAsia="宋体" w:cs="宋体"/>
                <w:i w:val="0"/>
                <w:color w:val="000000"/>
                <w:sz w:val="18"/>
                <w:szCs w:val="18"/>
                <w:u w:val="none"/>
              </w:rPr>
            </w:pPr>
          </w:p>
        </w:tc>
        <w:tc>
          <w:tcPr>
            <w:tcW w:w="24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E89A6">
            <w:pPr>
              <w:jc w:val="center"/>
              <w:rPr>
                <w:rFonts w:hint="eastAsia" w:ascii="宋体" w:hAnsi="宋体" w:eastAsia="宋体" w:cs="宋体"/>
                <w:i w:val="0"/>
                <w:color w:val="000000"/>
                <w:sz w:val="18"/>
                <w:szCs w:val="18"/>
                <w:u w:val="none"/>
              </w:rPr>
            </w:pPr>
          </w:p>
        </w:tc>
      </w:tr>
      <w:tr w14:paraId="7C677527">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B6F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B35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86D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58D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完成血站扩建面积</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092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≥1100平方米</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B79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1100平方米</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B3155">
            <w:pPr>
              <w:jc w:val="left"/>
              <w:rPr>
                <w:rFonts w:hint="eastAsia" w:ascii="宋体" w:hAnsi="宋体" w:eastAsia="宋体" w:cs="宋体"/>
                <w:i w:val="0"/>
                <w:color w:val="000000"/>
                <w:sz w:val="18"/>
                <w:szCs w:val="18"/>
                <w:u w:val="none"/>
              </w:rPr>
            </w:pPr>
          </w:p>
        </w:tc>
      </w:tr>
      <w:tr w14:paraId="7C3DFC1E">
        <w:tblPrEx>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772E">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10ED3">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AC8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300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工程量完成率</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FC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FF0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71F72">
            <w:pPr>
              <w:jc w:val="left"/>
              <w:rPr>
                <w:rFonts w:hint="eastAsia" w:ascii="宋体" w:hAnsi="宋体" w:eastAsia="宋体" w:cs="宋体"/>
                <w:i w:val="0"/>
                <w:color w:val="000000"/>
                <w:sz w:val="18"/>
                <w:szCs w:val="18"/>
                <w:u w:val="none"/>
              </w:rPr>
            </w:pPr>
          </w:p>
        </w:tc>
      </w:tr>
      <w:tr w14:paraId="0E0C3196">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0030A">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3C3D0">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1CF07">
            <w:pPr>
              <w:jc w:val="center"/>
              <w:rPr>
                <w:rFonts w:hint="eastAsia" w:ascii="宋体" w:hAnsi="宋体" w:eastAsia="宋体" w:cs="宋体"/>
                <w:i w:val="0"/>
                <w:color w:val="000000"/>
                <w:sz w:val="18"/>
                <w:szCs w:val="18"/>
                <w:u w:val="none"/>
              </w:rPr>
            </w:pP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78F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可行性研究规范性</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F23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B24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BEDFA">
            <w:pPr>
              <w:jc w:val="left"/>
              <w:rPr>
                <w:rFonts w:hint="eastAsia" w:ascii="宋体" w:hAnsi="宋体" w:eastAsia="宋体" w:cs="宋体"/>
                <w:i w:val="0"/>
                <w:color w:val="000000"/>
                <w:sz w:val="18"/>
                <w:szCs w:val="18"/>
                <w:u w:val="none"/>
              </w:rPr>
            </w:pPr>
          </w:p>
        </w:tc>
      </w:tr>
      <w:tr w14:paraId="3938FC71">
        <w:tblPrEx>
          <w:shd w:val="clear" w:color="auto" w:fill="auto"/>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A062">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2379B">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765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AC0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项目完成时间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42E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≥1月&amp;&amp;≤12月</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DA7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4215">
            <w:pPr>
              <w:jc w:val="left"/>
              <w:rPr>
                <w:rFonts w:hint="eastAsia" w:ascii="宋体" w:hAnsi="宋体" w:eastAsia="宋体" w:cs="宋体"/>
                <w:i w:val="0"/>
                <w:color w:val="000000"/>
                <w:sz w:val="18"/>
                <w:szCs w:val="18"/>
                <w:u w:val="none"/>
              </w:rPr>
            </w:pPr>
          </w:p>
        </w:tc>
      </w:tr>
      <w:tr w14:paraId="31F6A134">
        <w:tblPrEx>
          <w:tblCellMar>
            <w:top w:w="0" w:type="dxa"/>
            <w:left w:w="0" w:type="dxa"/>
            <w:bottom w:w="0" w:type="dxa"/>
            <w:right w:w="0" w:type="dxa"/>
          </w:tblCellMar>
        </w:tblPrEx>
        <w:trPr>
          <w:trHeight w:val="106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11EA4">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93A2">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BA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915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目标成本控制</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2BE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1B4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43.08万元</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B79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因疫情的原因，项目工程延后完工</w:t>
            </w:r>
          </w:p>
        </w:tc>
      </w:tr>
      <w:tr w14:paraId="2F703BC6">
        <w:tblPrEx>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60D6F">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F4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6B7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E81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预期带来非税收入</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BEC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≥420万元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367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373.16万元</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19D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因疫情的原因医院回款不及时</w:t>
            </w:r>
          </w:p>
        </w:tc>
      </w:tr>
      <w:tr w14:paraId="46307099">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3F93A">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85170">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8BF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C4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解决办公用房人数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8B4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≥30人</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845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30人</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F0197">
            <w:pPr>
              <w:jc w:val="left"/>
              <w:rPr>
                <w:rFonts w:hint="eastAsia" w:ascii="宋体" w:hAnsi="宋体" w:eastAsia="宋体" w:cs="宋体"/>
                <w:i w:val="0"/>
                <w:color w:val="000000"/>
                <w:sz w:val="18"/>
                <w:szCs w:val="18"/>
                <w:u w:val="none"/>
              </w:rPr>
            </w:pPr>
          </w:p>
        </w:tc>
      </w:tr>
      <w:tr w14:paraId="40D43097">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2E9FE">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1B78F">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6B5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5FC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房屋使用年限</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491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=50年</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066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50年</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26B8F">
            <w:pPr>
              <w:jc w:val="left"/>
              <w:rPr>
                <w:rFonts w:hint="eastAsia" w:ascii="宋体" w:hAnsi="宋体" w:eastAsia="宋体" w:cs="宋体"/>
                <w:i w:val="0"/>
                <w:color w:val="000000"/>
                <w:sz w:val="18"/>
                <w:szCs w:val="18"/>
                <w:u w:val="none"/>
              </w:rPr>
            </w:pPr>
          </w:p>
        </w:tc>
      </w:tr>
      <w:tr w14:paraId="2E1EC1BB">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1FA72">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4D2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CC7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5D0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员工满意度</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C8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4CF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28518">
            <w:pPr>
              <w:jc w:val="center"/>
              <w:rPr>
                <w:rFonts w:hint="eastAsia" w:ascii="宋体" w:hAnsi="宋体" w:eastAsia="宋体" w:cs="宋体"/>
                <w:i w:val="0"/>
                <w:color w:val="000000"/>
                <w:sz w:val="18"/>
                <w:szCs w:val="18"/>
                <w:u w:val="none"/>
              </w:rPr>
            </w:pPr>
          </w:p>
        </w:tc>
      </w:tr>
    </w:tbl>
    <w:p w14:paraId="071F5E47">
      <w:pPr>
        <w:pStyle w:val="2"/>
        <w:jc w:val="both"/>
        <w:sectPr>
          <w:footerReference r:id="rId3" w:type="default"/>
          <w:pgSz w:w="11906" w:h="16838"/>
          <w:pgMar w:top="1440" w:right="1558" w:bottom="1440" w:left="1800" w:header="851" w:footer="992" w:gutter="0"/>
          <w:cols w:space="425" w:num="1"/>
          <w:docGrid w:type="lines" w:linePitch="312" w:charSpace="0"/>
        </w:sectPr>
      </w:pPr>
    </w:p>
    <w:p w14:paraId="4112ADBC">
      <w:pPr>
        <w:spacing w:line="600" w:lineRule="exact"/>
        <w:rPr>
          <w:rFonts w:ascii="仿宋_GB2312"/>
          <w:bCs/>
          <w:sz w:val="32"/>
          <w:szCs w:val="32"/>
        </w:rPr>
      </w:pPr>
      <w:r>
        <w:rPr>
          <w:rFonts w:hint="eastAsia" w:ascii="仿宋_GB2312"/>
          <w:bCs/>
          <w:sz w:val="32"/>
          <w:szCs w:val="32"/>
        </w:rPr>
        <w:t>附件1</w:t>
      </w:r>
    </w:p>
    <w:tbl>
      <w:tblPr>
        <w:tblStyle w:val="18"/>
        <w:tblW w:w="1417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3"/>
        <w:gridCol w:w="516"/>
        <w:gridCol w:w="587"/>
        <w:gridCol w:w="4683"/>
        <w:gridCol w:w="6568"/>
        <w:gridCol w:w="567"/>
        <w:gridCol w:w="740"/>
      </w:tblGrid>
      <w:tr w14:paraId="77C05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3" w:type="dxa"/>
            <w:shd w:val="clear" w:color="auto" w:fill="FFFFFF"/>
            <w:vAlign w:val="center"/>
          </w:tcPr>
          <w:p w14:paraId="62DCED2C">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516" w:type="dxa"/>
            <w:shd w:val="clear" w:color="auto" w:fill="FFFFFF"/>
            <w:vAlign w:val="center"/>
          </w:tcPr>
          <w:p w14:paraId="2AF24195">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587" w:type="dxa"/>
            <w:shd w:val="clear" w:color="auto" w:fill="FFFFFF"/>
            <w:vAlign w:val="center"/>
          </w:tcPr>
          <w:p w14:paraId="6D202E36">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4683" w:type="dxa"/>
            <w:shd w:val="clear" w:color="auto" w:fill="FFFFFF"/>
            <w:vAlign w:val="center"/>
          </w:tcPr>
          <w:p w14:paraId="7F7E9AD9">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6568" w:type="dxa"/>
            <w:shd w:val="clear" w:color="auto" w:fill="FFFFFF"/>
            <w:vAlign w:val="center"/>
          </w:tcPr>
          <w:p w14:paraId="6A9BB1C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67" w:type="dxa"/>
            <w:shd w:val="clear" w:color="auto" w:fill="FFFFFF"/>
            <w:vAlign w:val="center"/>
          </w:tcPr>
          <w:p w14:paraId="2D056BF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740" w:type="dxa"/>
            <w:shd w:val="clear" w:color="auto" w:fill="FFFFFF"/>
            <w:vAlign w:val="center"/>
          </w:tcPr>
          <w:p w14:paraId="5429E23C">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04698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13" w:type="dxa"/>
            <w:vMerge w:val="restart"/>
            <w:shd w:val="clear" w:color="auto" w:fill="FFFFFF"/>
            <w:vAlign w:val="center"/>
          </w:tcPr>
          <w:p w14:paraId="619716F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5E3A3A6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266E3C39">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16" w:type="dxa"/>
            <w:vMerge w:val="restart"/>
            <w:shd w:val="clear" w:color="auto" w:fill="FFFFFF"/>
            <w:vAlign w:val="center"/>
          </w:tcPr>
          <w:p w14:paraId="3799E97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587" w:type="dxa"/>
            <w:shd w:val="clear" w:color="auto" w:fill="FFFFFF"/>
            <w:vAlign w:val="center"/>
          </w:tcPr>
          <w:p w14:paraId="6D665CC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6CE8A1E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4683" w:type="dxa"/>
            <w:shd w:val="clear" w:color="auto" w:fill="FFFFFF"/>
            <w:vAlign w:val="center"/>
          </w:tcPr>
          <w:p w14:paraId="3D7B690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6568" w:type="dxa"/>
            <w:shd w:val="clear" w:color="auto" w:fill="FFFFFF"/>
            <w:vAlign w:val="center"/>
          </w:tcPr>
          <w:p w14:paraId="753AB4CE">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567" w:type="dxa"/>
            <w:shd w:val="clear" w:color="auto" w:fill="FFFFFF"/>
            <w:vAlign w:val="center"/>
          </w:tcPr>
          <w:p w14:paraId="59AA9EC4">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740" w:type="dxa"/>
            <w:shd w:val="clear" w:color="auto" w:fill="FFFFFF"/>
            <w:vAlign w:val="center"/>
          </w:tcPr>
          <w:p w14:paraId="5662851B">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4D93A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3" w:type="dxa"/>
            <w:vMerge w:val="continue"/>
            <w:shd w:val="clear" w:color="auto" w:fill="FFFFFF"/>
            <w:vAlign w:val="center"/>
          </w:tcPr>
          <w:p w14:paraId="3388E696">
            <w:pPr>
              <w:spacing w:line="0" w:lineRule="atLeast"/>
              <w:jc w:val="center"/>
              <w:rPr>
                <w:rFonts w:ascii="宋体" w:hAnsi="宋体" w:cs="宋体"/>
                <w:color w:val="000000"/>
                <w:kern w:val="0"/>
                <w:sz w:val="22"/>
                <w:szCs w:val="22"/>
              </w:rPr>
            </w:pPr>
          </w:p>
        </w:tc>
        <w:tc>
          <w:tcPr>
            <w:tcW w:w="516" w:type="dxa"/>
            <w:vMerge w:val="continue"/>
            <w:shd w:val="clear" w:color="auto" w:fill="FFFFFF"/>
            <w:vAlign w:val="center"/>
          </w:tcPr>
          <w:p w14:paraId="59692A33">
            <w:pPr>
              <w:widowControl/>
              <w:spacing w:line="0" w:lineRule="atLeast"/>
              <w:jc w:val="center"/>
              <w:rPr>
                <w:rFonts w:ascii="宋体" w:hAnsi="宋体" w:cs="宋体"/>
                <w:color w:val="000000"/>
                <w:kern w:val="0"/>
                <w:sz w:val="22"/>
                <w:szCs w:val="22"/>
              </w:rPr>
            </w:pPr>
          </w:p>
        </w:tc>
        <w:tc>
          <w:tcPr>
            <w:tcW w:w="587" w:type="dxa"/>
            <w:shd w:val="clear" w:color="auto" w:fill="FFFFFF"/>
            <w:vAlign w:val="center"/>
          </w:tcPr>
          <w:p w14:paraId="20199C5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2E30E79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4683" w:type="dxa"/>
            <w:shd w:val="clear" w:color="auto" w:fill="FFFFFF"/>
            <w:vAlign w:val="center"/>
          </w:tcPr>
          <w:p w14:paraId="5C02418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6568" w:type="dxa"/>
            <w:shd w:val="clear" w:color="auto" w:fill="FFFFFF"/>
            <w:vAlign w:val="center"/>
          </w:tcPr>
          <w:p w14:paraId="3F3BEBC4">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567" w:type="dxa"/>
            <w:shd w:val="clear" w:color="auto" w:fill="FFFFFF"/>
            <w:vAlign w:val="center"/>
          </w:tcPr>
          <w:p w14:paraId="2E061DC8">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740" w:type="dxa"/>
            <w:shd w:val="clear" w:color="auto" w:fill="FFFFFF"/>
            <w:vAlign w:val="center"/>
          </w:tcPr>
          <w:p w14:paraId="5BC89DE3">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73267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3" w:type="dxa"/>
            <w:vMerge w:val="continue"/>
            <w:shd w:val="clear" w:color="auto" w:fill="FFFFFF"/>
            <w:vAlign w:val="center"/>
          </w:tcPr>
          <w:p w14:paraId="629899D3">
            <w:pPr>
              <w:spacing w:line="0" w:lineRule="atLeast"/>
              <w:jc w:val="center"/>
              <w:rPr>
                <w:rFonts w:ascii="宋体" w:hAnsi="宋体" w:cs="宋体"/>
                <w:color w:val="000000"/>
                <w:kern w:val="0"/>
                <w:sz w:val="22"/>
                <w:szCs w:val="22"/>
              </w:rPr>
            </w:pPr>
          </w:p>
        </w:tc>
        <w:tc>
          <w:tcPr>
            <w:tcW w:w="516" w:type="dxa"/>
            <w:shd w:val="clear" w:color="auto" w:fill="FFFFFF"/>
            <w:vAlign w:val="center"/>
          </w:tcPr>
          <w:p w14:paraId="7764416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587" w:type="dxa"/>
            <w:shd w:val="clear" w:color="auto" w:fill="FFFFFF"/>
            <w:vAlign w:val="center"/>
          </w:tcPr>
          <w:p w14:paraId="2A87D86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3ECB0AE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4683" w:type="dxa"/>
            <w:shd w:val="clear" w:color="000000" w:fill="FFFFFF"/>
            <w:vAlign w:val="center"/>
          </w:tcPr>
          <w:p w14:paraId="2896014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6568" w:type="dxa"/>
            <w:shd w:val="clear" w:color="000000" w:fill="FFFFFF"/>
            <w:vAlign w:val="center"/>
          </w:tcPr>
          <w:p w14:paraId="2B0A5E55">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14:paraId="382AC604">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567" w:type="dxa"/>
            <w:shd w:val="clear" w:color="000000" w:fill="FFFFFF"/>
            <w:vAlign w:val="center"/>
          </w:tcPr>
          <w:p w14:paraId="0564B9B6">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1B054E91">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14:paraId="18607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13" w:type="dxa"/>
            <w:vMerge w:val="restart"/>
            <w:shd w:val="clear" w:color="auto" w:fill="FFFFFF"/>
            <w:vAlign w:val="center"/>
          </w:tcPr>
          <w:p w14:paraId="62EE57E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516" w:type="dxa"/>
            <w:shd w:val="clear" w:color="auto" w:fill="FFFFFF"/>
            <w:vAlign w:val="center"/>
          </w:tcPr>
          <w:p w14:paraId="5C79110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587" w:type="dxa"/>
            <w:shd w:val="clear" w:color="auto" w:fill="FFFFFF"/>
            <w:vAlign w:val="center"/>
          </w:tcPr>
          <w:p w14:paraId="647D599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3A7E4A1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4683" w:type="dxa"/>
            <w:shd w:val="clear" w:color="000000" w:fill="FFFFFF"/>
            <w:vAlign w:val="center"/>
          </w:tcPr>
          <w:p w14:paraId="1379EBC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6568" w:type="dxa"/>
            <w:shd w:val="clear" w:color="000000" w:fill="FFFFFF"/>
            <w:vAlign w:val="center"/>
          </w:tcPr>
          <w:p w14:paraId="4AF650B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567" w:type="dxa"/>
            <w:shd w:val="clear" w:color="000000" w:fill="FFFFFF"/>
            <w:vAlign w:val="center"/>
          </w:tcPr>
          <w:p w14:paraId="3F5C545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670F55C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27281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13" w:type="dxa"/>
            <w:vMerge w:val="continue"/>
            <w:shd w:val="clear" w:color="auto" w:fill="FFFFFF"/>
            <w:vAlign w:val="center"/>
          </w:tcPr>
          <w:p w14:paraId="46B2DC5F">
            <w:pPr>
              <w:spacing w:line="0" w:lineRule="atLeast"/>
              <w:jc w:val="center"/>
              <w:rPr>
                <w:rFonts w:ascii="宋体" w:hAnsi="宋体" w:cs="宋体"/>
                <w:color w:val="000000"/>
                <w:kern w:val="0"/>
                <w:sz w:val="22"/>
                <w:szCs w:val="22"/>
              </w:rPr>
            </w:pPr>
          </w:p>
        </w:tc>
        <w:tc>
          <w:tcPr>
            <w:tcW w:w="516" w:type="dxa"/>
            <w:vMerge w:val="restart"/>
            <w:shd w:val="clear" w:color="auto" w:fill="FFFFFF"/>
            <w:vAlign w:val="center"/>
          </w:tcPr>
          <w:p w14:paraId="5C1EF46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14:paraId="59FD9CEF">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87" w:type="dxa"/>
            <w:shd w:val="clear" w:color="auto" w:fill="FFFFFF"/>
            <w:vAlign w:val="center"/>
          </w:tcPr>
          <w:p w14:paraId="6C1CC0C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447AC0A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4683" w:type="dxa"/>
            <w:shd w:val="clear" w:color="auto" w:fill="FFFFFF"/>
            <w:vAlign w:val="center"/>
          </w:tcPr>
          <w:p w14:paraId="609A4C3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6568" w:type="dxa"/>
            <w:shd w:val="clear" w:color="auto" w:fill="FFFFFF"/>
            <w:vAlign w:val="center"/>
          </w:tcPr>
          <w:p w14:paraId="5364DD4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567" w:type="dxa"/>
            <w:shd w:val="clear" w:color="auto" w:fill="FFFFFF"/>
            <w:vAlign w:val="center"/>
          </w:tcPr>
          <w:p w14:paraId="3BFB906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337BF15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7AFB8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13" w:type="dxa"/>
            <w:vMerge w:val="continue"/>
            <w:shd w:val="clear" w:color="auto" w:fill="FFFFFF"/>
            <w:vAlign w:val="center"/>
          </w:tcPr>
          <w:p w14:paraId="67C21D9D">
            <w:pPr>
              <w:widowControl/>
              <w:spacing w:line="0" w:lineRule="atLeast"/>
              <w:jc w:val="center"/>
              <w:rPr>
                <w:rFonts w:ascii="宋体" w:hAnsi="宋体" w:cs="宋体"/>
                <w:color w:val="000000"/>
                <w:kern w:val="0"/>
                <w:sz w:val="22"/>
                <w:szCs w:val="22"/>
              </w:rPr>
            </w:pPr>
          </w:p>
        </w:tc>
        <w:tc>
          <w:tcPr>
            <w:tcW w:w="516" w:type="dxa"/>
            <w:vMerge w:val="continue"/>
            <w:shd w:val="clear" w:color="auto" w:fill="FFFFFF"/>
            <w:vAlign w:val="center"/>
          </w:tcPr>
          <w:p w14:paraId="60EAEC74">
            <w:pPr>
              <w:widowControl/>
              <w:spacing w:line="0" w:lineRule="atLeast"/>
              <w:jc w:val="center"/>
              <w:rPr>
                <w:rFonts w:ascii="宋体" w:hAnsi="宋体" w:cs="宋体"/>
                <w:color w:val="000000"/>
                <w:kern w:val="0"/>
                <w:sz w:val="22"/>
                <w:szCs w:val="22"/>
              </w:rPr>
            </w:pPr>
          </w:p>
        </w:tc>
        <w:tc>
          <w:tcPr>
            <w:tcW w:w="587" w:type="dxa"/>
            <w:shd w:val="clear" w:color="auto" w:fill="FFFFFF"/>
            <w:vAlign w:val="center"/>
          </w:tcPr>
          <w:p w14:paraId="65A7D49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6779E7E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4683" w:type="dxa"/>
            <w:shd w:val="clear" w:color="auto" w:fill="FFFFFF"/>
            <w:vAlign w:val="center"/>
          </w:tcPr>
          <w:p w14:paraId="7D2FE4A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6568" w:type="dxa"/>
            <w:shd w:val="clear" w:color="auto" w:fill="FFFFFF"/>
            <w:vAlign w:val="center"/>
          </w:tcPr>
          <w:p w14:paraId="3EF6D7F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567" w:type="dxa"/>
            <w:shd w:val="clear" w:color="auto" w:fill="FFFFFF"/>
            <w:vAlign w:val="center"/>
          </w:tcPr>
          <w:p w14:paraId="50415B4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498A4D2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27505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13" w:type="dxa"/>
            <w:vMerge w:val="restart"/>
            <w:shd w:val="clear" w:color="auto" w:fill="FFFFFF"/>
            <w:vAlign w:val="center"/>
          </w:tcPr>
          <w:p w14:paraId="6BF51C18">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516" w:type="dxa"/>
            <w:vMerge w:val="restart"/>
            <w:shd w:val="clear" w:color="auto" w:fill="FFFFFF"/>
            <w:vAlign w:val="center"/>
          </w:tcPr>
          <w:p w14:paraId="53B2290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587" w:type="dxa"/>
            <w:shd w:val="clear" w:color="auto" w:fill="FFFFFF"/>
            <w:vAlign w:val="center"/>
          </w:tcPr>
          <w:p w14:paraId="732903C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4683" w:type="dxa"/>
            <w:shd w:val="clear" w:color="000000" w:fill="FFFFFF"/>
            <w:vAlign w:val="center"/>
          </w:tcPr>
          <w:p w14:paraId="087F95A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6568" w:type="dxa"/>
            <w:shd w:val="clear" w:color="000000" w:fill="FFFFFF"/>
            <w:vAlign w:val="center"/>
          </w:tcPr>
          <w:p w14:paraId="6BD0007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14:paraId="2347C8E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14:paraId="55CAD23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567" w:type="dxa"/>
            <w:shd w:val="clear" w:color="000000" w:fill="FFFFFF"/>
            <w:vAlign w:val="center"/>
          </w:tcPr>
          <w:p w14:paraId="64A73FB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45F691D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46836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13" w:type="dxa"/>
            <w:vMerge w:val="continue"/>
            <w:shd w:val="clear" w:color="auto" w:fill="FFFFFF"/>
            <w:vAlign w:val="center"/>
          </w:tcPr>
          <w:p w14:paraId="4084E96B">
            <w:pPr>
              <w:spacing w:line="0" w:lineRule="atLeast"/>
              <w:jc w:val="center"/>
              <w:rPr>
                <w:rFonts w:ascii="宋体" w:hAnsi="宋体" w:cs="宋体"/>
                <w:color w:val="000000"/>
                <w:kern w:val="0"/>
                <w:sz w:val="22"/>
                <w:szCs w:val="22"/>
              </w:rPr>
            </w:pPr>
          </w:p>
        </w:tc>
        <w:tc>
          <w:tcPr>
            <w:tcW w:w="516" w:type="dxa"/>
            <w:vMerge w:val="continue"/>
            <w:shd w:val="clear" w:color="auto" w:fill="FFFFFF"/>
            <w:vAlign w:val="center"/>
          </w:tcPr>
          <w:p w14:paraId="34F1EC68">
            <w:pPr>
              <w:spacing w:line="0" w:lineRule="atLeast"/>
              <w:jc w:val="center"/>
              <w:rPr>
                <w:rFonts w:ascii="宋体" w:hAnsi="宋体" w:cs="宋体"/>
                <w:color w:val="000000"/>
                <w:kern w:val="0"/>
                <w:sz w:val="22"/>
                <w:szCs w:val="22"/>
              </w:rPr>
            </w:pPr>
          </w:p>
        </w:tc>
        <w:tc>
          <w:tcPr>
            <w:tcW w:w="587" w:type="dxa"/>
            <w:shd w:val="clear" w:color="auto" w:fill="FFFFFF"/>
            <w:vAlign w:val="center"/>
          </w:tcPr>
          <w:p w14:paraId="3239D36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4683" w:type="dxa"/>
            <w:shd w:val="clear" w:color="auto" w:fill="FFFFFF"/>
            <w:vAlign w:val="center"/>
          </w:tcPr>
          <w:p w14:paraId="20B482D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6568" w:type="dxa"/>
            <w:shd w:val="clear" w:color="auto" w:fill="FFFFFF"/>
            <w:vAlign w:val="center"/>
          </w:tcPr>
          <w:p w14:paraId="0A20E3A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567" w:type="dxa"/>
            <w:shd w:val="clear" w:color="auto" w:fill="FFFFFF"/>
            <w:vAlign w:val="center"/>
          </w:tcPr>
          <w:p w14:paraId="12452A4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1015BEE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0.64</w:t>
            </w:r>
          </w:p>
        </w:tc>
      </w:tr>
      <w:tr w14:paraId="65577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3" w:type="dxa"/>
            <w:vMerge w:val="restart"/>
            <w:shd w:val="clear" w:color="auto" w:fill="FFFFFF"/>
            <w:vAlign w:val="center"/>
          </w:tcPr>
          <w:p w14:paraId="5B1A799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52F3256C">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516" w:type="dxa"/>
            <w:shd w:val="clear" w:color="auto" w:fill="FFFFFF"/>
            <w:vAlign w:val="center"/>
          </w:tcPr>
          <w:p w14:paraId="50AECD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587" w:type="dxa"/>
            <w:shd w:val="clear" w:color="auto" w:fill="FFFFFF"/>
            <w:vAlign w:val="center"/>
          </w:tcPr>
          <w:p w14:paraId="5FCC4AF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656C15D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4683" w:type="dxa"/>
            <w:shd w:val="clear" w:color="000000" w:fill="FFFFFF"/>
            <w:vAlign w:val="center"/>
          </w:tcPr>
          <w:p w14:paraId="03B216D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6568" w:type="dxa"/>
            <w:shd w:val="clear" w:color="000000" w:fill="FFFFFF"/>
            <w:vAlign w:val="center"/>
          </w:tcPr>
          <w:p w14:paraId="3FC902F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567" w:type="dxa"/>
            <w:shd w:val="clear" w:color="000000" w:fill="FFFFFF"/>
            <w:vAlign w:val="center"/>
          </w:tcPr>
          <w:p w14:paraId="2B71159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48D1A0E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020AF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3" w:type="dxa"/>
            <w:vMerge w:val="continue"/>
            <w:shd w:val="clear" w:color="auto" w:fill="FFFFFF"/>
            <w:vAlign w:val="center"/>
          </w:tcPr>
          <w:p w14:paraId="2A8EC0EF">
            <w:pPr>
              <w:spacing w:line="0" w:lineRule="atLeast"/>
              <w:jc w:val="center"/>
              <w:rPr>
                <w:rFonts w:ascii="宋体" w:hAnsi="宋体" w:cs="宋体"/>
                <w:color w:val="000000"/>
                <w:kern w:val="0"/>
                <w:sz w:val="22"/>
                <w:szCs w:val="22"/>
              </w:rPr>
            </w:pPr>
          </w:p>
        </w:tc>
        <w:tc>
          <w:tcPr>
            <w:tcW w:w="516" w:type="dxa"/>
            <w:vMerge w:val="restart"/>
            <w:shd w:val="clear" w:color="auto" w:fill="FFFFFF"/>
            <w:vAlign w:val="center"/>
          </w:tcPr>
          <w:p w14:paraId="4070572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14:paraId="5A5B1423">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87" w:type="dxa"/>
            <w:shd w:val="clear" w:color="auto" w:fill="FFFFFF"/>
            <w:vAlign w:val="center"/>
          </w:tcPr>
          <w:p w14:paraId="3BFF04D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12D0CF5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4683" w:type="dxa"/>
            <w:shd w:val="clear" w:color="000000" w:fill="FFFFFF"/>
            <w:vAlign w:val="center"/>
          </w:tcPr>
          <w:p w14:paraId="7F5125B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6568" w:type="dxa"/>
            <w:shd w:val="clear" w:color="000000" w:fill="FFFFFF"/>
            <w:vAlign w:val="center"/>
          </w:tcPr>
          <w:p w14:paraId="464E5B8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567" w:type="dxa"/>
            <w:shd w:val="clear" w:color="000000" w:fill="FFFFFF"/>
            <w:vAlign w:val="center"/>
          </w:tcPr>
          <w:p w14:paraId="6B36831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1374EF7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3797A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3" w:type="dxa"/>
            <w:vMerge w:val="continue"/>
            <w:shd w:val="clear" w:color="auto" w:fill="FFFFFF"/>
            <w:vAlign w:val="center"/>
          </w:tcPr>
          <w:p w14:paraId="2020B4BB">
            <w:pPr>
              <w:widowControl/>
              <w:spacing w:line="0" w:lineRule="atLeast"/>
              <w:jc w:val="center"/>
              <w:rPr>
                <w:rFonts w:ascii="宋体" w:hAnsi="宋体" w:cs="宋体"/>
                <w:color w:val="000000"/>
                <w:kern w:val="0"/>
                <w:sz w:val="22"/>
                <w:szCs w:val="22"/>
              </w:rPr>
            </w:pPr>
          </w:p>
        </w:tc>
        <w:tc>
          <w:tcPr>
            <w:tcW w:w="516" w:type="dxa"/>
            <w:vMerge w:val="continue"/>
            <w:shd w:val="clear" w:color="auto" w:fill="FFFFFF"/>
            <w:vAlign w:val="center"/>
          </w:tcPr>
          <w:p w14:paraId="7AAED512">
            <w:pPr>
              <w:widowControl/>
              <w:spacing w:line="0" w:lineRule="atLeast"/>
              <w:jc w:val="center"/>
              <w:rPr>
                <w:rFonts w:ascii="宋体" w:hAnsi="宋体" w:cs="宋体"/>
                <w:color w:val="000000"/>
                <w:kern w:val="0"/>
                <w:sz w:val="22"/>
                <w:szCs w:val="22"/>
              </w:rPr>
            </w:pPr>
          </w:p>
        </w:tc>
        <w:tc>
          <w:tcPr>
            <w:tcW w:w="587" w:type="dxa"/>
            <w:shd w:val="clear" w:color="auto" w:fill="FFFFFF"/>
            <w:vAlign w:val="center"/>
          </w:tcPr>
          <w:p w14:paraId="67A960F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5D8ACE5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4683" w:type="dxa"/>
            <w:shd w:val="clear" w:color="000000" w:fill="FFFFFF"/>
            <w:vAlign w:val="center"/>
          </w:tcPr>
          <w:p w14:paraId="076C990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6568" w:type="dxa"/>
            <w:shd w:val="clear" w:color="000000" w:fill="FFFFFF"/>
            <w:vAlign w:val="center"/>
          </w:tcPr>
          <w:p w14:paraId="33F36DB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567" w:type="dxa"/>
            <w:shd w:val="clear" w:color="000000" w:fill="FFFFFF"/>
            <w:vAlign w:val="center"/>
          </w:tcPr>
          <w:p w14:paraId="16A93BF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3265190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6A25E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13" w:type="dxa"/>
            <w:shd w:val="clear" w:color="auto" w:fill="FFFFFF"/>
            <w:vAlign w:val="center"/>
          </w:tcPr>
          <w:p w14:paraId="2D5B051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516" w:type="dxa"/>
            <w:shd w:val="clear" w:color="auto" w:fill="FFFFFF"/>
            <w:vAlign w:val="center"/>
          </w:tcPr>
          <w:p w14:paraId="448B482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587" w:type="dxa"/>
            <w:shd w:val="clear" w:color="auto" w:fill="FFFFFF"/>
            <w:vAlign w:val="center"/>
          </w:tcPr>
          <w:p w14:paraId="1A7A853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4683" w:type="dxa"/>
            <w:shd w:val="clear" w:color="000000" w:fill="FFFFFF"/>
            <w:vAlign w:val="center"/>
          </w:tcPr>
          <w:p w14:paraId="33AD6E4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6568" w:type="dxa"/>
            <w:shd w:val="clear" w:color="000000" w:fill="FFFFFF"/>
            <w:vAlign w:val="center"/>
          </w:tcPr>
          <w:p w14:paraId="5988128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567" w:type="dxa"/>
            <w:shd w:val="clear" w:color="000000" w:fill="FFFFFF"/>
            <w:vAlign w:val="center"/>
          </w:tcPr>
          <w:p w14:paraId="2CB2665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740" w:type="dxa"/>
            <w:shd w:val="clear" w:color="000000" w:fill="FFFFFF"/>
            <w:vAlign w:val="center"/>
          </w:tcPr>
          <w:p w14:paraId="7DBD1A3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12.4</w:t>
            </w:r>
          </w:p>
        </w:tc>
      </w:tr>
      <w:tr w14:paraId="79DC5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13" w:type="dxa"/>
            <w:vMerge w:val="restart"/>
            <w:shd w:val="clear" w:color="auto" w:fill="FFFFFF"/>
            <w:vAlign w:val="center"/>
          </w:tcPr>
          <w:p w14:paraId="32D133E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516" w:type="dxa"/>
            <w:shd w:val="clear" w:color="auto" w:fill="FFFFFF"/>
            <w:vAlign w:val="center"/>
          </w:tcPr>
          <w:p w14:paraId="3FF8419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587" w:type="dxa"/>
            <w:shd w:val="clear" w:color="auto" w:fill="FFFFFF"/>
            <w:vAlign w:val="center"/>
          </w:tcPr>
          <w:p w14:paraId="092BD70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4683" w:type="dxa"/>
            <w:shd w:val="clear" w:color="000000" w:fill="FFFFFF"/>
            <w:vAlign w:val="center"/>
          </w:tcPr>
          <w:p w14:paraId="4990F3E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6568" w:type="dxa"/>
            <w:shd w:val="clear" w:color="000000" w:fill="FFFFFF"/>
            <w:vAlign w:val="center"/>
          </w:tcPr>
          <w:p w14:paraId="67FEB18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14:paraId="136949B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7" w:type="dxa"/>
            <w:shd w:val="clear" w:color="000000" w:fill="FFFFFF"/>
            <w:vAlign w:val="center"/>
          </w:tcPr>
          <w:p w14:paraId="2AB2C1E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740" w:type="dxa"/>
            <w:shd w:val="clear" w:color="000000" w:fill="FFFFFF"/>
            <w:vAlign w:val="center"/>
          </w:tcPr>
          <w:p w14:paraId="5BA9892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14:paraId="44EDB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13" w:type="dxa"/>
            <w:vMerge w:val="continue"/>
            <w:shd w:val="clear" w:color="auto" w:fill="FFFFFF"/>
            <w:vAlign w:val="center"/>
          </w:tcPr>
          <w:p w14:paraId="1F86AA82">
            <w:pPr>
              <w:spacing w:line="0" w:lineRule="atLeast"/>
              <w:jc w:val="center"/>
              <w:rPr>
                <w:rFonts w:ascii="宋体" w:hAnsi="宋体" w:cs="宋体"/>
                <w:color w:val="000000"/>
                <w:kern w:val="0"/>
                <w:sz w:val="22"/>
                <w:szCs w:val="22"/>
              </w:rPr>
            </w:pPr>
          </w:p>
        </w:tc>
        <w:tc>
          <w:tcPr>
            <w:tcW w:w="516" w:type="dxa"/>
            <w:shd w:val="clear" w:color="auto" w:fill="FFFFFF"/>
            <w:vAlign w:val="center"/>
          </w:tcPr>
          <w:p w14:paraId="7E8E99CC">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587" w:type="dxa"/>
            <w:shd w:val="clear" w:color="auto" w:fill="FFFFFF"/>
            <w:vAlign w:val="center"/>
          </w:tcPr>
          <w:p w14:paraId="53ED282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4683" w:type="dxa"/>
            <w:shd w:val="clear" w:color="000000" w:fill="FFFFFF"/>
            <w:vAlign w:val="center"/>
          </w:tcPr>
          <w:p w14:paraId="4411311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6568" w:type="dxa"/>
            <w:shd w:val="clear" w:color="000000" w:fill="FFFFFF"/>
            <w:vAlign w:val="center"/>
          </w:tcPr>
          <w:p w14:paraId="4B5317D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567" w:type="dxa"/>
            <w:shd w:val="clear" w:color="000000" w:fill="FFFFFF"/>
            <w:vAlign w:val="center"/>
          </w:tcPr>
          <w:p w14:paraId="1637889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740" w:type="dxa"/>
            <w:shd w:val="clear" w:color="000000" w:fill="FFFFFF"/>
            <w:vAlign w:val="center"/>
          </w:tcPr>
          <w:p w14:paraId="2342A17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14:paraId="04DB0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3" w:type="dxa"/>
            <w:vMerge w:val="continue"/>
            <w:shd w:val="clear" w:color="auto" w:fill="FFFFFF"/>
            <w:vAlign w:val="center"/>
          </w:tcPr>
          <w:p w14:paraId="5FC78790">
            <w:pPr>
              <w:widowControl/>
              <w:spacing w:line="0" w:lineRule="atLeast"/>
              <w:jc w:val="center"/>
              <w:rPr>
                <w:rFonts w:ascii="宋体" w:hAnsi="宋体" w:cs="宋体"/>
                <w:color w:val="000000"/>
                <w:kern w:val="0"/>
                <w:sz w:val="22"/>
                <w:szCs w:val="22"/>
              </w:rPr>
            </w:pPr>
          </w:p>
        </w:tc>
        <w:tc>
          <w:tcPr>
            <w:tcW w:w="516" w:type="dxa"/>
            <w:shd w:val="clear" w:color="auto" w:fill="FFFFFF"/>
            <w:vAlign w:val="center"/>
          </w:tcPr>
          <w:p w14:paraId="71302D9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587" w:type="dxa"/>
            <w:shd w:val="clear" w:color="auto" w:fill="FFFFFF"/>
            <w:vAlign w:val="center"/>
          </w:tcPr>
          <w:p w14:paraId="606C7F0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4683" w:type="dxa"/>
            <w:shd w:val="clear" w:color="000000" w:fill="FFFFFF"/>
            <w:vAlign w:val="center"/>
          </w:tcPr>
          <w:p w14:paraId="3289CBA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6568" w:type="dxa"/>
            <w:shd w:val="clear" w:color="000000" w:fill="FFFFFF"/>
            <w:vAlign w:val="center"/>
          </w:tcPr>
          <w:p w14:paraId="508EAAD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567" w:type="dxa"/>
            <w:shd w:val="clear" w:color="000000" w:fill="FFFFFF"/>
            <w:vAlign w:val="center"/>
          </w:tcPr>
          <w:p w14:paraId="0BEA41B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740" w:type="dxa"/>
            <w:shd w:val="clear" w:color="000000" w:fill="FFFFFF"/>
            <w:vAlign w:val="center"/>
          </w:tcPr>
          <w:p w14:paraId="25AE722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14:paraId="08B5E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13" w:type="dxa"/>
            <w:vMerge w:val="restart"/>
            <w:shd w:val="clear" w:color="auto" w:fill="FFFFFF"/>
            <w:vAlign w:val="center"/>
          </w:tcPr>
          <w:p w14:paraId="07AA0F1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516" w:type="dxa"/>
            <w:vMerge w:val="restart"/>
            <w:shd w:val="clear" w:color="auto" w:fill="FFFFFF"/>
            <w:vAlign w:val="center"/>
          </w:tcPr>
          <w:p w14:paraId="266ADDB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587" w:type="dxa"/>
            <w:shd w:val="clear" w:color="auto" w:fill="FFFFFF"/>
            <w:vAlign w:val="center"/>
          </w:tcPr>
          <w:p w14:paraId="168802A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4683" w:type="dxa"/>
            <w:shd w:val="clear" w:color="auto" w:fill="FFFFFF"/>
            <w:vAlign w:val="center"/>
          </w:tcPr>
          <w:p w14:paraId="5A6658B3">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6568" w:type="dxa"/>
            <w:shd w:val="clear" w:color="auto" w:fill="FFFFFF"/>
            <w:vAlign w:val="center"/>
          </w:tcPr>
          <w:p w14:paraId="41069E7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567" w:type="dxa"/>
            <w:shd w:val="clear" w:color="auto" w:fill="FFFFFF"/>
            <w:vAlign w:val="center"/>
          </w:tcPr>
          <w:p w14:paraId="1DB136C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740" w:type="dxa"/>
            <w:shd w:val="clear" w:color="auto" w:fill="FFFFFF"/>
            <w:vAlign w:val="center"/>
          </w:tcPr>
          <w:p w14:paraId="4C81618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28</w:t>
            </w:r>
          </w:p>
        </w:tc>
      </w:tr>
      <w:tr w14:paraId="1AF54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513" w:type="dxa"/>
            <w:vMerge w:val="continue"/>
            <w:shd w:val="clear" w:color="auto" w:fill="FFFFFF"/>
            <w:vAlign w:val="center"/>
          </w:tcPr>
          <w:p w14:paraId="67246C79">
            <w:pPr>
              <w:widowControl/>
              <w:spacing w:line="0" w:lineRule="atLeast"/>
              <w:jc w:val="center"/>
              <w:rPr>
                <w:rFonts w:ascii="宋体" w:hAnsi="宋体" w:cs="宋体"/>
                <w:color w:val="000000"/>
                <w:kern w:val="0"/>
                <w:sz w:val="22"/>
                <w:szCs w:val="22"/>
              </w:rPr>
            </w:pPr>
          </w:p>
        </w:tc>
        <w:tc>
          <w:tcPr>
            <w:tcW w:w="516" w:type="dxa"/>
            <w:vMerge w:val="continue"/>
            <w:shd w:val="clear" w:color="auto" w:fill="FFFFFF"/>
            <w:vAlign w:val="center"/>
          </w:tcPr>
          <w:p w14:paraId="2B25CDC9">
            <w:pPr>
              <w:widowControl/>
              <w:spacing w:line="0" w:lineRule="atLeast"/>
              <w:jc w:val="center"/>
              <w:rPr>
                <w:rFonts w:ascii="宋体" w:hAnsi="宋体" w:cs="宋体"/>
                <w:color w:val="000000"/>
                <w:kern w:val="0"/>
                <w:sz w:val="22"/>
                <w:szCs w:val="22"/>
              </w:rPr>
            </w:pPr>
          </w:p>
        </w:tc>
        <w:tc>
          <w:tcPr>
            <w:tcW w:w="587" w:type="dxa"/>
            <w:shd w:val="clear" w:color="auto" w:fill="FFFFFF"/>
            <w:vAlign w:val="center"/>
          </w:tcPr>
          <w:p w14:paraId="4601DEF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4683" w:type="dxa"/>
            <w:shd w:val="clear" w:color="000000" w:fill="FFFFFF"/>
            <w:vAlign w:val="center"/>
          </w:tcPr>
          <w:p w14:paraId="4A6EE86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6568" w:type="dxa"/>
            <w:shd w:val="clear" w:color="000000" w:fill="FFFFFF"/>
            <w:vAlign w:val="center"/>
          </w:tcPr>
          <w:p w14:paraId="68EB11E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567" w:type="dxa"/>
            <w:shd w:val="clear" w:color="000000" w:fill="FFFFFF"/>
            <w:vAlign w:val="center"/>
          </w:tcPr>
          <w:p w14:paraId="5EECED9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740" w:type="dxa"/>
            <w:shd w:val="clear" w:color="000000" w:fill="FFFFFF"/>
            <w:vAlign w:val="center"/>
          </w:tcPr>
          <w:p w14:paraId="3C74094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bl>
    <w:p w14:paraId="3ABC1B02">
      <w:pPr>
        <w:pStyle w:val="2"/>
      </w:pPr>
    </w:p>
    <w:p w14:paraId="1A565799"/>
    <w:p w14:paraId="6A0B8D44">
      <w:pPr>
        <w:spacing w:line="540" w:lineRule="exact"/>
        <w:ind w:firstLine="640"/>
        <w:rPr>
          <w:rStyle w:val="20"/>
          <w:rFonts w:ascii="黑体" w:hAnsi="黑体" w:eastAsia="黑体"/>
          <w:bCs w:val="0"/>
          <w:spacing w:val="-4"/>
          <w:sz w:val="32"/>
          <w:szCs w:val="32"/>
        </w:rPr>
      </w:pPr>
    </w:p>
    <w:p w14:paraId="79E81271">
      <w:pPr>
        <w:pStyle w:val="2"/>
        <w:jc w:val="both"/>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CE77861-AABC-47A0-AF1C-76930756DE8D}"/>
  </w:font>
  <w:font w:name="黑体">
    <w:panose1 w:val="02010609060101010101"/>
    <w:charset w:val="86"/>
    <w:family w:val="auto"/>
    <w:pitch w:val="default"/>
    <w:sig w:usb0="800002BF" w:usb1="38CF7CFA" w:usb2="00000016" w:usb3="00000000" w:csb0="00040001" w:csb1="00000000"/>
    <w:embedRegular r:id="rId2" w:fontKey="{27974ACD-03AE-4EB0-A040-C229F4695F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F50FB3C8-8CA5-4805-AE4A-C1C3BF2FEBEA}"/>
  </w:font>
  <w:font w:name="华文中宋">
    <w:panose1 w:val="02010600040101010101"/>
    <w:charset w:val="86"/>
    <w:family w:val="auto"/>
    <w:pitch w:val="default"/>
    <w:sig w:usb0="00000287" w:usb1="080F0000" w:usb2="00000000" w:usb3="00000000" w:csb0="0004009F" w:csb1="DFD70000"/>
    <w:embedRegular r:id="rId4" w:fontKey="{8E8EF829-2EE4-4239-B9A9-3CD4E2DCC6FF}"/>
  </w:font>
  <w:font w:name="方正小标宋简体">
    <w:panose1 w:val="02000000000000000000"/>
    <w:charset w:val="86"/>
    <w:family w:val="auto"/>
    <w:pitch w:val="default"/>
    <w:sig w:usb0="00000001" w:usb1="08000000" w:usb2="00000000" w:usb3="00000000" w:csb0="00040000" w:csb1="00000000"/>
    <w:embedRegular r:id="rId5" w:fontKey="{A1E63A15-A482-4565-A7E7-F1AC135C750E}"/>
  </w:font>
  <w:font w:name="楷体_GB2312">
    <w:altName w:val="楷体"/>
    <w:panose1 w:val="00000000000000000000"/>
    <w:charset w:val="86"/>
    <w:family w:val="auto"/>
    <w:pitch w:val="default"/>
    <w:sig w:usb0="00000000" w:usb1="00000000" w:usb2="00000000" w:usb3="00000000" w:csb0="00040000" w:csb1="00000000"/>
    <w:embedRegular r:id="rId6" w:fontKey="{40A7E6A1-69B4-4BD9-BDFC-BFE6D53A1136}"/>
  </w:font>
  <w:font w:name="楷体">
    <w:panose1 w:val="02010609060101010101"/>
    <w:charset w:val="86"/>
    <w:family w:val="auto"/>
    <w:pitch w:val="default"/>
    <w:sig w:usb0="800002BF" w:usb1="38CF7CFA" w:usb2="00000016" w:usb3="00000000" w:csb0="00040001" w:csb1="00000000"/>
    <w:embedRegular r:id="rId7" w:fontKey="{75424B7F-76AF-4155-90AA-7B7C9B42D851}"/>
  </w:font>
  <w:font w:name="方正仿宋_GBK">
    <w:panose1 w:val="02000000000000000000"/>
    <w:charset w:val="86"/>
    <w:family w:val="auto"/>
    <w:pitch w:val="default"/>
    <w:sig w:usb0="A00002BF" w:usb1="38CF7CFA" w:usb2="00082016" w:usb3="00000000" w:csb0="00040001" w:csb1="00000000"/>
    <w:embedRegular r:id="rId8" w:fontKey="{F52B70A7-B728-4FE5-8555-1D0F7D50F57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C4E9DA">
        <w:pPr>
          <w:pStyle w:val="14"/>
          <w:jc w:val="center"/>
        </w:pPr>
        <w:r>
          <w:fldChar w:fldCharType="begin"/>
        </w:r>
        <w:r>
          <w:instrText xml:space="preserve">PAGE   \* MERGEFORMAT</w:instrText>
        </w:r>
        <w:r>
          <w:fldChar w:fldCharType="separate"/>
        </w:r>
        <w:r>
          <w:rPr>
            <w:lang w:val="zh-CN"/>
          </w:rPr>
          <w:t>11</w:t>
        </w:r>
        <w:r>
          <w:rPr>
            <w:lang w:val="zh-CN"/>
          </w:rPr>
          <w:fldChar w:fldCharType="end"/>
        </w:r>
      </w:p>
    </w:sdtContent>
  </w:sdt>
  <w:p w14:paraId="5B4B7ED1">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3730CCE4"/>
    <w:multiLevelType w:val="singleLevel"/>
    <w:tmpl w:val="3730CCE4"/>
    <w:lvl w:ilvl="0" w:tentative="0">
      <w:start w:val="2"/>
      <w:numFmt w:val="decimal"/>
      <w:suff w:val="nothing"/>
      <w:lvlText w:val="（%1）"/>
      <w:lvlJc w:val="left"/>
      <w:pPr>
        <w:ind w:left="-10"/>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03F52"/>
    <w:rsid w:val="00012A78"/>
    <w:rsid w:val="0003274F"/>
    <w:rsid w:val="00056465"/>
    <w:rsid w:val="00066E27"/>
    <w:rsid w:val="000A3143"/>
    <w:rsid w:val="000E33AA"/>
    <w:rsid w:val="000E50F0"/>
    <w:rsid w:val="000E586C"/>
    <w:rsid w:val="0010029A"/>
    <w:rsid w:val="001150AE"/>
    <w:rsid w:val="00117E6B"/>
    <w:rsid w:val="00121AE4"/>
    <w:rsid w:val="00146AAD"/>
    <w:rsid w:val="001B3A40"/>
    <w:rsid w:val="001D4C97"/>
    <w:rsid w:val="001F2DC8"/>
    <w:rsid w:val="00207310"/>
    <w:rsid w:val="00217D70"/>
    <w:rsid w:val="00274417"/>
    <w:rsid w:val="002A3CE8"/>
    <w:rsid w:val="002E0E67"/>
    <w:rsid w:val="00340581"/>
    <w:rsid w:val="003650C3"/>
    <w:rsid w:val="00390BCF"/>
    <w:rsid w:val="003C18BC"/>
    <w:rsid w:val="004173A7"/>
    <w:rsid w:val="004366A8"/>
    <w:rsid w:val="00444A98"/>
    <w:rsid w:val="004622C3"/>
    <w:rsid w:val="00464900"/>
    <w:rsid w:val="00481CCB"/>
    <w:rsid w:val="004936CE"/>
    <w:rsid w:val="004A0A1D"/>
    <w:rsid w:val="004C1E20"/>
    <w:rsid w:val="004C68E6"/>
    <w:rsid w:val="004E6885"/>
    <w:rsid w:val="00502BA7"/>
    <w:rsid w:val="00504BF1"/>
    <w:rsid w:val="005162F1"/>
    <w:rsid w:val="00520239"/>
    <w:rsid w:val="00535153"/>
    <w:rsid w:val="0053610D"/>
    <w:rsid w:val="005446FF"/>
    <w:rsid w:val="00554F82"/>
    <w:rsid w:val="0056390D"/>
    <w:rsid w:val="005719B0"/>
    <w:rsid w:val="005A1216"/>
    <w:rsid w:val="005C5D3F"/>
    <w:rsid w:val="005D10D6"/>
    <w:rsid w:val="00610929"/>
    <w:rsid w:val="00623843"/>
    <w:rsid w:val="00630248"/>
    <w:rsid w:val="00652439"/>
    <w:rsid w:val="006638B9"/>
    <w:rsid w:val="006652A4"/>
    <w:rsid w:val="006A72A3"/>
    <w:rsid w:val="006E580A"/>
    <w:rsid w:val="00707026"/>
    <w:rsid w:val="00720587"/>
    <w:rsid w:val="00742D79"/>
    <w:rsid w:val="0076227D"/>
    <w:rsid w:val="007806A5"/>
    <w:rsid w:val="007827CF"/>
    <w:rsid w:val="00790A69"/>
    <w:rsid w:val="007B2C7B"/>
    <w:rsid w:val="00812472"/>
    <w:rsid w:val="008127AB"/>
    <w:rsid w:val="008130CB"/>
    <w:rsid w:val="00855E3A"/>
    <w:rsid w:val="008863FB"/>
    <w:rsid w:val="008A5960"/>
    <w:rsid w:val="008B1AB6"/>
    <w:rsid w:val="009009C5"/>
    <w:rsid w:val="00905A9E"/>
    <w:rsid w:val="00922CB9"/>
    <w:rsid w:val="00983A3D"/>
    <w:rsid w:val="009E5CD9"/>
    <w:rsid w:val="009F4B71"/>
    <w:rsid w:val="00A0565D"/>
    <w:rsid w:val="00A05BD1"/>
    <w:rsid w:val="00A22791"/>
    <w:rsid w:val="00A26421"/>
    <w:rsid w:val="00A4293B"/>
    <w:rsid w:val="00A56C15"/>
    <w:rsid w:val="00A67D50"/>
    <w:rsid w:val="00A828F2"/>
    <w:rsid w:val="00A8691A"/>
    <w:rsid w:val="00AA39C9"/>
    <w:rsid w:val="00AC1946"/>
    <w:rsid w:val="00AE3796"/>
    <w:rsid w:val="00AE5DDB"/>
    <w:rsid w:val="00AF0F7A"/>
    <w:rsid w:val="00B40063"/>
    <w:rsid w:val="00B41F61"/>
    <w:rsid w:val="00BA46E6"/>
    <w:rsid w:val="00BF21F3"/>
    <w:rsid w:val="00BF5CF6"/>
    <w:rsid w:val="00BF63B2"/>
    <w:rsid w:val="00C35A06"/>
    <w:rsid w:val="00C56C72"/>
    <w:rsid w:val="00C819BB"/>
    <w:rsid w:val="00C84C29"/>
    <w:rsid w:val="00CA6457"/>
    <w:rsid w:val="00D17F2E"/>
    <w:rsid w:val="00D30354"/>
    <w:rsid w:val="00D51CB0"/>
    <w:rsid w:val="00D90219"/>
    <w:rsid w:val="00DA0603"/>
    <w:rsid w:val="00DD4BE8"/>
    <w:rsid w:val="00DF42A0"/>
    <w:rsid w:val="00DF7C45"/>
    <w:rsid w:val="00E13C85"/>
    <w:rsid w:val="00E209E1"/>
    <w:rsid w:val="00E31565"/>
    <w:rsid w:val="00E32E92"/>
    <w:rsid w:val="00E46C51"/>
    <w:rsid w:val="00E769FE"/>
    <w:rsid w:val="00E81B17"/>
    <w:rsid w:val="00EA2B05"/>
    <w:rsid w:val="00EA2CBE"/>
    <w:rsid w:val="00EB404A"/>
    <w:rsid w:val="00EE67F5"/>
    <w:rsid w:val="00F0747A"/>
    <w:rsid w:val="00F23FD4"/>
    <w:rsid w:val="00F32FEE"/>
    <w:rsid w:val="00F34EC7"/>
    <w:rsid w:val="00F417A4"/>
    <w:rsid w:val="00F45DB0"/>
    <w:rsid w:val="00F71278"/>
    <w:rsid w:val="00F71B2C"/>
    <w:rsid w:val="00F76B9C"/>
    <w:rsid w:val="00F85EC6"/>
    <w:rsid w:val="00FA5239"/>
    <w:rsid w:val="00FB10BB"/>
    <w:rsid w:val="00FE0187"/>
    <w:rsid w:val="0173722E"/>
    <w:rsid w:val="019D11EC"/>
    <w:rsid w:val="03D80EDD"/>
    <w:rsid w:val="04611D45"/>
    <w:rsid w:val="051A56F5"/>
    <w:rsid w:val="066D6EAA"/>
    <w:rsid w:val="08C662D4"/>
    <w:rsid w:val="09BD4D95"/>
    <w:rsid w:val="0ECD62B5"/>
    <w:rsid w:val="0F8D41CB"/>
    <w:rsid w:val="11C75270"/>
    <w:rsid w:val="12637CC3"/>
    <w:rsid w:val="12E657C5"/>
    <w:rsid w:val="12EA4B65"/>
    <w:rsid w:val="167C7687"/>
    <w:rsid w:val="168B3546"/>
    <w:rsid w:val="18232C14"/>
    <w:rsid w:val="1A2374E0"/>
    <w:rsid w:val="1C317CE2"/>
    <w:rsid w:val="1C452D4D"/>
    <w:rsid w:val="1DD45808"/>
    <w:rsid w:val="1DED42AC"/>
    <w:rsid w:val="20005763"/>
    <w:rsid w:val="20FB313D"/>
    <w:rsid w:val="220B4804"/>
    <w:rsid w:val="230C3A9B"/>
    <w:rsid w:val="24AF34E9"/>
    <w:rsid w:val="282475E3"/>
    <w:rsid w:val="294E458E"/>
    <w:rsid w:val="2C6100C1"/>
    <w:rsid w:val="2EBB0E15"/>
    <w:rsid w:val="3264220D"/>
    <w:rsid w:val="372F52BB"/>
    <w:rsid w:val="391C50F4"/>
    <w:rsid w:val="3963178C"/>
    <w:rsid w:val="3F5B415F"/>
    <w:rsid w:val="41CC2676"/>
    <w:rsid w:val="45BD6C8B"/>
    <w:rsid w:val="46B21672"/>
    <w:rsid w:val="4F552460"/>
    <w:rsid w:val="4FCC6863"/>
    <w:rsid w:val="500A214A"/>
    <w:rsid w:val="522D604D"/>
    <w:rsid w:val="5297585E"/>
    <w:rsid w:val="52AD7D6F"/>
    <w:rsid w:val="53AE6929"/>
    <w:rsid w:val="5549519D"/>
    <w:rsid w:val="5557596B"/>
    <w:rsid w:val="57644CEF"/>
    <w:rsid w:val="58026414"/>
    <w:rsid w:val="5B596DFC"/>
    <w:rsid w:val="5DF03945"/>
    <w:rsid w:val="637C2815"/>
    <w:rsid w:val="63D70566"/>
    <w:rsid w:val="667F1985"/>
    <w:rsid w:val="676B71B7"/>
    <w:rsid w:val="6A0F1BAA"/>
    <w:rsid w:val="74A60707"/>
    <w:rsid w:val="7A353D0B"/>
    <w:rsid w:val="7D3A5E2F"/>
    <w:rsid w:val="7D7E61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3"/>
    <w:qFormat/>
    <w:uiPriority w:val="9"/>
    <w:rPr>
      <w:rFonts w:asciiTheme="majorHAnsi" w:hAnsiTheme="majorHAnsi" w:eastAsiaTheme="majorEastAsia"/>
      <w:b/>
      <w:bCs/>
      <w:kern w:val="32"/>
      <w:sz w:val="32"/>
      <w:szCs w:val="32"/>
    </w:rPr>
  </w:style>
  <w:style w:type="character" w:customStyle="1" w:styleId="23">
    <w:name w:val="标题 2 Char"/>
    <w:basedOn w:val="19"/>
    <w:link w:val="4"/>
    <w:semiHidden/>
    <w:qFormat/>
    <w:uiPriority w:val="9"/>
    <w:rPr>
      <w:rFonts w:asciiTheme="majorHAnsi" w:hAnsiTheme="majorHAnsi" w:eastAsiaTheme="majorEastAsia"/>
      <w:b/>
      <w:bCs/>
      <w:i/>
      <w:iCs/>
      <w:sz w:val="28"/>
      <w:szCs w:val="28"/>
    </w:rPr>
  </w:style>
  <w:style w:type="character" w:customStyle="1" w:styleId="24">
    <w:name w:val="标题 3 Char"/>
    <w:basedOn w:val="19"/>
    <w:link w:val="5"/>
    <w:semiHidden/>
    <w:qFormat/>
    <w:uiPriority w:val="9"/>
    <w:rPr>
      <w:rFonts w:asciiTheme="majorHAnsi" w:hAnsiTheme="majorHAnsi" w:eastAsiaTheme="majorEastAsia"/>
      <w:b/>
      <w:bCs/>
      <w:sz w:val="26"/>
      <w:szCs w:val="26"/>
    </w:rPr>
  </w:style>
  <w:style w:type="character" w:customStyle="1" w:styleId="25">
    <w:name w:val="标题 4 Char"/>
    <w:basedOn w:val="19"/>
    <w:link w:val="6"/>
    <w:semiHidden/>
    <w:qFormat/>
    <w:uiPriority w:val="9"/>
    <w:rPr>
      <w:b/>
      <w:bCs/>
      <w:sz w:val="28"/>
      <w:szCs w:val="28"/>
    </w:rPr>
  </w:style>
  <w:style w:type="character" w:customStyle="1" w:styleId="26">
    <w:name w:val="标题 5 Char"/>
    <w:basedOn w:val="19"/>
    <w:link w:val="7"/>
    <w:semiHidden/>
    <w:qFormat/>
    <w:uiPriority w:val="9"/>
    <w:rPr>
      <w:b/>
      <w:bCs/>
      <w:i/>
      <w:iCs/>
      <w:sz w:val="26"/>
      <w:szCs w:val="26"/>
    </w:rPr>
  </w:style>
  <w:style w:type="character" w:customStyle="1" w:styleId="27">
    <w:name w:val="标题 6 Char"/>
    <w:basedOn w:val="19"/>
    <w:link w:val="8"/>
    <w:semiHidden/>
    <w:qFormat/>
    <w:uiPriority w:val="9"/>
    <w:rPr>
      <w:b/>
      <w:bCs/>
    </w:rPr>
  </w:style>
  <w:style w:type="character" w:customStyle="1" w:styleId="28">
    <w:name w:val="标题 7 Char"/>
    <w:basedOn w:val="19"/>
    <w:link w:val="9"/>
    <w:semiHidden/>
    <w:qFormat/>
    <w:uiPriority w:val="9"/>
    <w:rPr>
      <w:sz w:val="24"/>
      <w:szCs w:val="24"/>
    </w:rPr>
  </w:style>
  <w:style w:type="character" w:customStyle="1" w:styleId="29">
    <w:name w:val="标题 8 Char"/>
    <w:basedOn w:val="19"/>
    <w:link w:val="10"/>
    <w:semiHidden/>
    <w:qFormat/>
    <w:uiPriority w:val="9"/>
    <w:rPr>
      <w:i/>
      <w:iCs/>
      <w:sz w:val="24"/>
      <w:szCs w:val="24"/>
    </w:rPr>
  </w:style>
  <w:style w:type="character" w:customStyle="1" w:styleId="30">
    <w:name w:val="标题 9 Char"/>
    <w:basedOn w:val="19"/>
    <w:link w:val="11"/>
    <w:semiHidden/>
    <w:qFormat/>
    <w:uiPriority w:val="9"/>
    <w:rPr>
      <w:rFonts w:asciiTheme="majorHAnsi" w:hAnsiTheme="majorHAnsi" w:eastAsiaTheme="majorEastAsia"/>
    </w:rPr>
  </w:style>
  <w:style w:type="character" w:customStyle="1" w:styleId="31">
    <w:name w:val="标题 Char"/>
    <w:basedOn w:val="19"/>
    <w:link w:val="2"/>
    <w:qFormat/>
    <w:uiPriority w:val="10"/>
    <w:rPr>
      <w:rFonts w:asciiTheme="majorHAnsi" w:hAnsiTheme="majorHAnsi" w:eastAsiaTheme="majorEastAsia"/>
      <w:b/>
      <w:bCs/>
      <w:kern w:val="28"/>
      <w:sz w:val="32"/>
      <w:szCs w:val="32"/>
    </w:rPr>
  </w:style>
  <w:style w:type="character" w:customStyle="1" w:styleId="32">
    <w:name w:val="副标题 Char"/>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不明显强调1"/>
    <w:qFormat/>
    <w:uiPriority w:val="19"/>
    <w:rPr>
      <w:i/>
      <w:color w:val="585858" w:themeColor="text1" w:themeTint="A6"/>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Char"/>
    <w:basedOn w:val="19"/>
    <w:link w:val="15"/>
    <w:qFormat/>
    <w:uiPriority w:val="99"/>
    <w:rPr>
      <w:rFonts w:ascii="Calibri" w:hAnsi="Calibri" w:eastAsia="宋体"/>
      <w:kern w:val="2"/>
      <w:sz w:val="18"/>
      <w:szCs w:val="18"/>
    </w:rPr>
  </w:style>
  <w:style w:type="character" w:customStyle="1" w:styleId="46">
    <w:name w:val="页脚 Char"/>
    <w:basedOn w:val="19"/>
    <w:link w:val="14"/>
    <w:qFormat/>
    <w:uiPriority w:val="99"/>
    <w:rPr>
      <w:rFonts w:ascii="Calibri" w:hAnsi="Calibri" w:eastAsia="宋体"/>
      <w:kern w:val="2"/>
      <w:sz w:val="18"/>
      <w:szCs w:val="18"/>
    </w:rPr>
  </w:style>
  <w:style w:type="character" w:customStyle="1" w:styleId="47">
    <w:name w:val="批注框文本 Char"/>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22</Pages>
  <Words>5906</Words>
  <Characters>6214</Characters>
  <Lines>12</Lines>
  <Paragraphs>19</Paragraphs>
  <TotalTime>10</TotalTime>
  <ScaleCrop>false</ScaleCrop>
  <LinksUpToDate>false</LinksUpToDate>
  <CharactersWithSpaces>6405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2021-03-30T05:05:00Z</dcterms:created>
  <dc:creator>赵 恺（预算处）</dc:creator>
  <cp:lastModifiedBy>周而</cp:lastModifiedBy>
  <cp:lastPrinted>2019-12-31T08:02:00Z</cp:lastPrinted>
  <dcterms:modified xsi:type="dcterms:W3CDTF">2025-03-31T10:54:47Z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008A4941E51A49769F39768B0FB0E182</vt:lpwstr>
  </property>
  <property fmtid="{D5CDD505-2E9C-101B-9397-08002B2CF9AE}" pid="4" name="KSOSaveFontToCloudKey">
    <vt:lpwstr>390855185_btnclosed</vt:lpwstr>
  </property>
  <property fmtid="{D5CDD505-2E9C-101B-9397-08002B2CF9AE}" pid="5" name="KSOTemplateDocerSaveRecord">
    <vt:lpwstr>eyJoZGlkIjoiN2VjMGM4YTNmZTY1NDFjMWFjNmVmZmU0NDA2ZTk0ZmMiLCJ1c2VySWQiOiI4NjI1NDMxNDkifQ==</vt:lpwstr>
  </property>
</Properties>
</file>